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217170</wp:posOffset>
                </wp:positionV>
                <wp:extent cx="5730240" cy="802005"/>
                <wp:effectExtent l="0" t="0" r="381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130" y="2597150"/>
                          <a:ext cx="573024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8"/>
                                <w:szCs w:val="58"/>
                                <w:lang w:val="en-US" w:eastAsia="zh-CN"/>
                              </w:rPr>
                              <w:t>上海市普陀区曹杨新村街道办事处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7.1pt;height:63.15pt;width:451.2pt;z-index:251660288;mso-width-relative:page;mso-height-relative:page;" fillcolor="#FFFFFF [3201]" filled="t" stroked="f" coordsize="21600,21600" o:gfxdata="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4phB1QAAAAkBAAAPAAAAAAAAAAEAIAAAACIAAABkcnMv&#10;ZG93bnJldi54bWxQSwECFAAUAAAACACHTuJAuKs9uj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8"/>
                          <w:szCs w:val="58"/>
                          <w:lang w:val="en-US" w:eastAsia="zh-CN"/>
                        </w:rPr>
                        <w:t>上海市普陀区曹杨新村街道办事处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2240" w:firstLineChars="7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200"/>
        <w:jc w:val="center"/>
        <w:textAlignment w:val="baseline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558165</wp:posOffset>
                </wp:positionV>
                <wp:extent cx="5831205" cy="0"/>
                <wp:effectExtent l="15875" t="15875" r="20320" b="222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9360" y="3185160"/>
                          <a:ext cx="5831205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pt;margin-top:43.95pt;height:0pt;width:459.15pt;z-index:-251657216;mso-width-relative:page;mso-height-relative:page;" filled="f" stroked="t" coordsize="21600,21600" o:gfxdata="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OFUA3WAAAACQEAAA8AAAAAAAAAAQAgAAAAIgAAAGRycy9kb3ducmV2LnhtbFBLAQIUABQA&#10;AAAIAIdO4kCluJvzuQEAADMDAAAOAAAAAAAAAAEAIAAAACUBAABkcnMvZTJvRG9jLnhtbFBLBQYA&#10;AAAABgAGAFkBAABQBQAAAAA=&#10;">
                <v:fill on="f" focussize="0,0"/>
                <v:stroke weight="2.5pt" color="#FF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曹办</w:t>
      </w:r>
      <w:r>
        <w:rPr>
          <w:rFonts w:hint="eastAsia" w:ascii="仿宋_GB2312" w:eastAsia="仿宋_GB2312"/>
          <w:sz w:val="32"/>
          <w:szCs w:val="32"/>
        </w:rPr>
        <w:t>〔2024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号</w:t>
      </w:r>
    </w:p>
    <w:p>
      <w:pPr>
        <w:ind w:firstLine="2880" w:firstLineChars="9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Ansi="华文中宋" w:eastAsia="华文中宋"/>
          <w:b/>
          <w:sz w:val="36"/>
          <w:szCs w:val="36"/>
        </w:rPr>
      </w:pP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对</w:t>
      </w:r>
      <w:r>
        <w:rPr>
          <w:rFonts w:hint="eastAsia" w:hAnsi="华文中宋" w:eastAsia="华文中宋"/>
          <w:b w:val="0"/>
          <w:bCs/>
          <w:sz w:val="36"/>
          <w:szCs w:val="36"/>
        </w:rPr>
        <w:t>区十五</w:t>
      </w:r>
      <w:r>
        <w:rPr>
          <w:rFonts w:hAnsi="华文中宋" w:eastAsia="华文中宋"/>
          <w:b w:val="0"/>
          <w:bCs/>
          <w:sz w:val="36"/>
          <w:szCs w:val="36"/>
        </w:rPr>
        <w:t>届</w:t>
      </w:r>
      <w:r>
        <w:rPr>
          <w:rFonts w:hint="eastAsia" w:hAnsi="华文中宋" w:eastAsia="华文中宋"/>
          <w:b w:val="0"/>
          <w:bCs/>
          <w:sz w:val="36"/>
          <w:szCs w:val="36"/>
        </w:rPr>
        <w:t>政协三</w:t>
      </w:r>
      <w:r>
        <w:rPr>
          <w:rFonts w:hAnsi="华文中宋" w:eastAsia="华文中宋"/>
          <w:b w:val="0"/>
          <w:bCs/>
          <w:sz w:val="36"/>
          <w:szCs w:val="36"/>
        </w:rPr>
        <w:t>次会议</w:t>
      </w: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第</w:t>
      </w:r>
      <w:r>
        <w:rPr>
          <w:rFonts w:hint="eastAsia" w:hAnsi="华文中宋" w:eastAsia="华文中宋"/>
          <w:b w:val="0"/>
          <w:bCs/>
          <w:sz w:val="36"/>
          <w:szCs w:val="36"/>
        </w:rPr>
        <w:t>1</w:t>
      </w:r>
      <w:r>
        <w:rPr>
          <w:rFonts w:hAnsi="华文中宋" w:eastAsia="华文中宋"/>
          <w:b w:val="0"/>
          <w:bCs/>
          <w:sz w:val="36"/>
          <w:szCs w:val="36"/>
        </w:rPr>
        <w:t>530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58</w:t>
      </w:r>
      <w:r>
        <w:rPr>
          <w:rFonts w:hAnsi="华文中宋" w:eastAsia="华文中宋"/>
          <w:b w:val="0"/>
          <w:bCs/>
          <w:sz w:val="36"/>
          <w:szCs w:val="36"/>
        </w:rPr>
        <w:t>号</w:t>
      </w:r>
      <w:r>
        <w:rPr>
          <w:rFonts w:hint="eastAsia" w:hAnsi="华文中宋" w:eastAsia="华文中宋"/>
          <w:b w:val="0"/>
          <w:bCs/>
          <w:sz w:val="36"/>
          <w:szCs w:val="36"/>
        </w:rPr>
        <w:t>提案</w:t>
      </w:r>
      <w:r>
        <w:rPr>
          <w:rFonts w:hAnsi="华文中宋" w:eastAsia="华文中宋"/>
          <w:b w:val="0"/>
          <w:bCs/>
          <w:sz w:val="36"/>
          <w:szCs w:val="36"/>
        </w:rPr>
        <w:t>的会办意见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1890" w:firstLineChars="900"/>
        <w:jc w:val="both"/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区卫健委：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医卫界别组提出的关于引导我区中青年群体参与家庭医生签约的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收悉，经研究，现将会办意见函告如下：</w:t>
      </w:r>
    </w:p>
    <w:p>
      <w:pPr>
        <w:autoSpaceDE w:val="0"/>
        <w:autoSpaceDN w:val="0"/>
        <w:spacing w:line="560" w:lineRule="exact"/>
        <w:ind w:right="200" w:firstLine="59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民健康是民族昌盛和国家富强的重要标志。党的二十大报告将“健康中国”作为我国2035年发展总体目标的一个重要方面，提出“把保障人民健康放在优先发展的战略位置”，并对“推进健康中国建设”作出全面部署。作为提升基层医疗能力、落实分级诊疗制度的一项重要举措，家庭医生承担着社区健康守门人的重要职责。在2022年底及2023年初，基层医疗机构，尤其是社区家庭医生在应对新冠疫情处置中发挥了重要作用。</w:t>
      </w:r>
    </w:p>
    <w:p>
      <w:pPr>
        <w:autoSpaceDE w:val="0"/>
        <w:autoSpaceDN w:val="0"/>
        <w:spacing w:line="560" w:lineRule="exact"/>
        <w:ind w:right="200" w:firstLine="59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自推行家庭医生签约服务以来，曹杨新村街道主动跨前，积极配合曹杨社区卫生服务中心推进家庭医生签约工作，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依托各居民区，通过“1+1”工作模式，暨一个居民区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配对一名家庭医生，实现辖区20个居民区的家庭医生的全覆盖；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依托社区教育发展联盟，建立辖区学校与曹杨社卫的联动模式，推进学龄段青少年的家庭医生签约工作；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依托武宁创新共同体，将社区医疗服务送进楼宇、进园区，推进企业职工的家庭医生签约工作。截止到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2024年2月28日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，曹杨社卫共为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41495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名辖区居民签订家庭医生，签约率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46.26%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，其中6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岁以上老年人的签约人数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21836人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签约率为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89.02%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utoSpaceDE w:val="0"/>
        <w:autoSpaceDN w:val="0"/>
        <w:spacing w:line="560" w:lineRule="exact"/>
        <w:ind w:right="200" w:firstLine="59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作为一个老龄化社区，曹杨新村街道中老龄化比例已高达46.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%，这也造成在推进家庭医生签约方面，老年人的签约比例较高，中青年人群的签约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9854人，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签约率仅为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26.79%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，成为制约完成家庭医生签约工作的关键因素。2024年，曹杨新村街道将重点聚焦中青年人群，从以下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方面配合曹杨社卫共同做好家庭医生的签约工作：</w:t>
      </w:r>
    </w:p>
    <w:p>
      <w:pPr>
        <w:autoSpaceDE w:val="0"/>
        <w:autoSpaceDN w:val="0"/>
        <w:spacing w:line="560" w:lineRule="exact"/>
        <w:ind w:right="200"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1.线上+线下，加强政策宣传。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依托“美好曹杨”“曹医微播”等微信公众号的宣传阵地，加大对社区家庭医生的宣传力度，探索以科普视频的形式，从多维度、多层次开展家庭医生签约工作宣传，强化社区居民的医学知识普及；线下结合街道“3﹒5学雷锋”“12﹒5志愿者日”等节点的主题活动，开展现场设摊咨询，提升家庭医生签约服务的知晓度、参与度。</w:t>
      </w:r>
    </w:p>
    <w:p>
      <w:pPr>
        <w:autoSpaceDE w:val="0"/>
        <w:autoSpaceDN w:val="0"/>
        <w:spacing w:line="560" w:lineRule="exact"/>
        <w:ind w:right="200"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2.校区+园区，提升服务能级。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社区教育联盟资源，加大“社-校-医”三方联动，主动送服务进校区，并以“小手牵大手，共筑健康家”为主题，向辖区学生家长发放签约倡议书，鼓励更多家庭参与签约工作；聚焦武宁创新共同体服务需求，强化“社-企-医”联动，将家庭医生服务、中医特色服务等送进园区、楼宇，为大院、大所职工提供“楼门口”的优质医疗服务，鼓励更多青年开展签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200" w:firstLine="595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以上意见供你单位统一答复代表时参考。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520" w:lineRule="exact"/>
        <w:ind w:left="0" w:leftChars="0" w:firstLine="640" w:firstLineChars="20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曹杨新村街道办事处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520" w:lineRule="exact"/>
        <w:ind w:left="0" w:leftChars="0" w:firstLine="640" w:firstLineChars="20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62167000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933号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200062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80" w:type="dxa"/>
            <w:tcBorders>
              <w:left w:val="nil"/>
              <w:right w:val="nil"/>
            </w:tcBorders>
          </w:tcPr>
          <w:p>
            <w:pPr>
              <w:spacing w:line="580" w:lineRule="exact"/>
              <w:ind w:right="-468" w:rightChars="-223"/>
              <w:jc w:val="lef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中共上海市普陀区曹杨新村街道工作委员会 2024年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eastAsia="zh-CN"/>
              </w:rPr>
              <w:t>印发</w:t>
            </w:r>
          </w:p>
        </w:tc>
      </w:tr>
    </w:tbl>
    <w:p>
      <w:pPr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EBAD256-DD5F-48A3-8C98-D9390200C3AF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E60D4293-BEEB-42A3-9986-66E4DD5B3A82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73C85C3D-4524-4313-A0DE-012B4F3C39F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36B8E2E-4969-436D-93DA-688E807F65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4DE59AC-CBA6-44A4-8356-91A68A46DA74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01A1C3B"/>
    <w:rsid w:val="03C0066A"/>
    <w:rsid w:val="048D453B"/>
    <w:rsid w:val="09BC513C"/>
    <w:rsid w:val="14E82811"/>
    <w:rsid w:val="1B483758"/>
    <w:rsid w:val="1BD56230"/>
    <w:rsid w:val="248B0ACD"/>
    <w:rsid w:val="28120417"/>
    <w:rsid w:val="2B011CF0"/>
    <w:rsid w:val="301A1C3B"/>
    <w:rsid w:val="3E84735A"/>
    <w:rsid w:val="44597EE6"/>
    <w:rsid w:val="542605FC"/>
    <w:rsid w:val="589F1D60"/>
    <w:rsid w:val="59C25D78"/>
    <w:rsid w:val="5F6757FA"/>
    <w:rsid w:val="619B5317"/>
    <w:rsid w:val="66107E41"/>
    <w:rsid w:val="67AA34E3"/>
    <w:rsid w:val="6C063890"/>
    <w:rsid w:val="787712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00" w:lineRule="exact"/>
      <w:ind w:firstLine="560" w:firstLineChars="200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/>
    </w:pPr>
    <w:rPr>
      <w:rFonts w:cs="Times New Roman"/>
      <w:szCs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next w:val="4"/>
    <w:qFormat/>
    <w:uiPriority w:val="0"/>
    <w:pPr>
      <w:jc w:val="center"/>
    </w:pPr>
    <w:rPr>
      <w:rFonts w:eastAsia="华文新魏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2024-01-26T01:34:00Z</dcterms:created>
  <dc:creator>尊广广告开森电子</dc:creator>
  <cp:lastModifiedBy>zl01</cp:lastModifiedBy>
  <cp:lastPrinted>2024-03-12T09:05:00Z</cp:lastPrinted>
  <dcterms:modified xsi:type="dcterms:W3CDTF">2024-03-28T06:12:29Z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3BF9FAF937F64065A27037DA2EED3E26_13</vt:lpwstr>
  </property>
</Properties>
</file>