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560" w:lineRule="exac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lang w:val="en-US" w:eastAsia="zh-CN"/>
        </w:rPr>
        <w:t>上海市普陀区石泉路街道</w:t>
      </w:r>
    </w:p>
    <w:p>
      <w:pPr>
        <w:spacing w:line="560" w:lineRule="exac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lang w:val="en-US" w:eastAsia="zh-CN"/>
        </w:rPr>
        <w:t>2022年政府信息公开工作年度报告</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jc w:val="both"/>
        <w:rPr>
          <w:rFonts w:hint="eastAsia" w:ascii="宋体" w:hAnsi="宋体" w:eastAsia="宋体" w:cs="Times New Roman"/>
          <w:b/>
          <w:bCs/>
          <w:color w:val="auto"/>
          <w:kern w:val="0"/>
          <w:sz w:val="24"/>
          <w:szCs w:val="24"/>
          <w:lang w:val="en-US" w:eastAsia="zh-CN" w:bidi="ar-SA"/>
        </w:rPr>
      </w:pPr>
    </w:p>
    <w:p>
      <w:pPr>
        <w:spacing w:line="560" w:lineRule="exact"/>
        <w:ind w:firstLine="640" w:firstLineChars="200"/>
        <w:rPr>
          <w:rFonts w:hint="eastAsia" w:ascii="黑体" w:hAnsi="黑体" w:eastAsia="黑体"/>
          <w:sz w:val="32"/>
          <w:szCs w:val="32"/>
          <w:lang w:val="zh-CN" w:eastAsia="zh-CN"/>
        </w:rPr>
      </w:pPr>
      <w:r>
        <w:rPr>
          <w:rFonts w:hint="eastAsia" w:ascii="黑体" w:hAnsi="黑体" w:eastAsia="黑体"/>
          <w:sz w:val="32"/>
          <w:szCs w:val="32"/>
          <w:lang w:val="zh-CN" w:eastAsia="zh-CN"/>
        </w:rPr>
        <w:t>一、总体情况</w:t>
      </w:r>
    </w:p>
    <w:p>
      <w:pPr>
        <w:keepNext w:val="0"/>
        <w:keepLines w:val="0"/>
        <w:pageBreakBefore w:val="0"/>
        <w:widowControl w:val="0"/>
        <w:kinsoku w:val="0"/>
        <w:wordWrap w:val="0"/>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石泉路街道认真贯彻落实《中华人民共和国政府信息公开条例》、《上海市政府信息公开规定》，紧扣区政府政务公开工作要求，围绕本单位重点工作部署，按照“公开为常态，不公开为例外”原则，进一步推进重点领域信息公开工作，不断细化公开内容、完善工作机制、规范程序流程，持续提升政府信息公开实效。现就2022年街道信息公开工作总体状况做如下汇报：</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一</w:t>
      </w:r>
      <w:r>
        <w:rPr>
          <w:rFonts w:hint="eastAsia" w:ascii="楷体_GB2312" w:eastAsia="楷体_GB2312"/>
          <w:b/>
          <w:sz w:val="32"/>
          <w:szCs w:val="32"/>
        </w:rPr>
        <w:t>）主动公开方面</w:t>
      </w:r>
    </w:p>
    <w:p>
      <w:pPr>
        <w:keepNext w:val="0"/>
        <w:keepLines w:val="0"/>
        <w:pageBreakBefore w:val="0"/>
        <w:widowControl w:val="0"/>
        <w:kinsoku w:val="0"/>
        <w:wordWrap w:val="0"/>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2022年石泉路街道主动公开政府信息55个，全文电子化率达100％；公开公文类信息13件，主动公开13件，公开率100%。</w:t>
      </w:r>
    </w:p>
    <w:p>
      <w:pPr>
        <w:ind w:firstLine="643" w:firstLineChars="200"/>
        <w:rPr>
          <w:rFonts w:hint="eastAsia" w:ascii="楷体_GB2312" w:hAnsi="仿宋" w:eastAsia="楷体_GB2312" w:cs="仿宋_GB2312"/>
          <w:b/>
          <w:sz w:val="32"/>
          <w:szCs w:val="32"/>
        </w:rPr>
      </w:pPr>
      <w:r>
        <w:rPr>
          <w:rFonts w:hint="eastAsia" w:ascii="楷体_GB2312" w:hAnsi="仿宋" w:eastAsia="楷体_GB2312" w:cs="仿宋_GB2312"/>
          <w:b/>
          <w:sz w:val="32"/>
          <w:szCs w:val="32"/>
        </w:rPr>
        <w:t>（</w:t>
      </w:r>
      <w:r>
        <w:rPr>
          <w:rFonts w:hint="eastAsia" w:ascii="楷体_GB2312" w:hAnsi="仿宋" w:eastAsia="楷体_GB2312" w:cs="仿宋_GB2312"/>
          <w:b/>
          <w:sz w:val="32"/>
          <w:szCs w:val="32"/>
          <w:lang w:eastAsia="zh-CN"/>
        </w:rPr>
        <w:t>二</w:t>
      </w:r>
      <w:r>
        <w:rPr>
          <w:rFonts w:hint="eastAsia" w:ascii="楷体_GB2312" w:hAnsi="仿宋" w:eastAsia="楷体_GB2312" w:cs="仿宋_GB2312"/>
          <w:b/>
          <w:sz w:val="32"/>
          <w:szCs w:val="32"/>
        </w:rPr>
        <w:t>）依申请公开方面</w:t>
      </w:r>
    </w:p>
    <w:p>
      <w:pPr>
        <w:keepNext w:val="0"/>
        <w:keepLines w:val="0"/>
        <w:pageBreakBefore w:val="0"/>
        <w:widowControl w:val="0"/>
        <w:kinsoku w:val="0"/>
        <w:wordWrap w:val="0"/>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石泉路街道共受理政府信息公开申请20件，18件为网络申请，2件为来信申请，答复政府信息公开申请20件，均在规定时限内按时办结。办理流程严格按照《普陀区政府信息依申请公开处理流程》及相关文件精神，答复规范、准确、合理。</w:t>
      </w:r>
    </w:p>
    <w:p>
      <w:pPr>
        <w:numPr>
          <w:ilvl w:val="0"/>
          <w:numId w:val="0"/>
        </w:numPr>
        <w:spacing w:line="560" w:lineRule="exact"/>
        <w:ind w:firstLine="643"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w:t>
      </w:r>
      <w:r>
        <w:rPr>
          <w:rFonts w:hint="eastAsia" w:ascii="楷体_GB2312" w:hAnsi="仿宋" w:eastAsia="楷体_GB2312" w:cs="仿宋_GB2312"/>
          <w:b/>
          <w:sz w:val="32"/>
          <w:szCs w:val="32"/>
          <w:lang w:val="en-US" w:eastAsia="zh-CN"/>
        </w:rPr>
        <w:t>政府信息管理方面</w:t>
      </w:r>
    </w:p>
    <w:p>
      <w:pPr>
        <w:spacing w:line="560" w:lineRule="exact"/>
        <w:ind w:firstLine="640" w:firstLineChars="200"/>
        <w:rPr>
          <w:rFonts w:hint="eastAsia" w:ascii="宋体" w:hAnsi="宋体" w:eastAsia="宋体" w:cs="宋体"/>
          <w:color w:val="auto"/>
          <w:sz w:val="22"/>
          <w:szCs w:val="22"/>
          <w:lang w:eastAsia="zh-CN"/>
        </w:rPr>
      </w:pPr>
      <w:r>
        <w:rPr>
          <w:rFonts w:hint="eastAsia" w:ascii="仿宋_GB2312" w:hAnsi="Times New Roman" w:eastAsia="仿宋_GB2312" w:cs="Times New Roman"/>
          <w:sz w:val="32"/>
          <w:szCs w:val="32"/>
          <w:lang w:val="en-US" w:eastAsia="zh-CN"/>
        </w:rPr>
        <w:t>一是完善街道信息公开工作制度，明确信息公开范围和信息发布的责任办公室，结合区相关部门的工作检查，对街道信息公开工作情况开展自查梳理，及时更新门户网站内各栏目内容，修订完善政府信息公开指南，持续强化受理审查、协调发布、保密审查、监督保障等工作机制，确保有序、有效推进信息公开工作。二是做好政府信息全周期规范化管理，每月定期梳理非密新增公文，做好全量备案工作，加强历史公文转化公开，及时移交产生的政府信息，定期更新本街道政府信息公开目录，不断规范信息公开工作流程，扎实推进政府信息公开工作落到实处。</w:t>
      </w:r>
    </w:p>
    <w:p>
      <w:pPr>
        <w:numPr>
          <w:ilvl w:val="0"/>
          <w:numId w:val="0"/>
        </w:numPr>
        <w:spacing w:line="560" w:lineRule="exact"/>
        <w:ind w:firstLine="643" w:firstLineChars="200"/>
        <w:rPr>
          <w:rFonts w:hint="eastAsia" w:ascii="楷体_GB2312" w:hAnsi="仿宋" w:eastAsia="楷体_GB2312" w:cs="仿宋_GB2312"/>
          <w:b/>
          <w:sz w:val="32"/>
          <w:szCs w:val="32"/>
          <w:lang w:val="en-US" w:eastAsia="zh-CN"/>
        </w:rPr>
      </w:pPr>
      <w:r>
        <w:rPr>
          <w:rFonts w:hint="eastAsia" w:ascii="楷体_GB2312" w:hAnsi="仿宋" w:eastAsia="楷体_GB2312" w:cs="仿宋_GB2312"/>
          <w:b/>
          <w:sz w:val="32"/>
          <w:szCs w:val="32"/>
          <w:lang w:val="en-US" w:eastAsia="zh-CN"/>
        </w:rPr>
        <w:t>（四）平台建设方面</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2022年，石泉路街道以“上海普陀”政府门户网站、“靠谱石泉 石泉实美”微信公众号、石泉《社区晨报》等政务新媒体平台为载体，及时发布街道最新动态和社区群众关注的热点信息，回应社会关切内容，本年度通过门户网站受理市民咨询8件，答复率100%，让群众切实感受到新媒体的便捷、便利、便民。同时加强线上平台日常维护，根据区网站监测报告，发现问题立即整改，确保信息公开的准确性、规范性、及时性和有效性。</w:t>
      </w:r>
    </w:p>
    <w:p>
      <w:pPr>
        <w:numPr>
          <w:ilvl w:val="0"/>
          <w:numId w:val="0"/>
        </w:numPr>
        <w:spacing w:line="560" w:lineRule="exact"/>
        <w:ind w:firstLine="643" w:firstLineChars="200"/>
        <w:rPr>
          <w:rFonts w:hint="eastAsia" w:ascii="楷体_GB2312" w:hAnsi="仿宋" w:eastAsia="楷体_GB2312" w:cs="仿宋_GB2312"/>
          <w:b/>
          <w:sz w:val="32"/>
          <w:szCs w:val="32"/>
          <w:lang w:val="en-US" w:eastAsia="zh-CN"/>
        </w:rPr>
      </w:pPr>
      <w:r>
        <w:rPr>
          <w:rFonts w:hint="eastAsia" w:ascii="楷体_GB2312" w:hAnsi="仿宋" w:eastAsia="楷体_GB2312" w:cs="仿宋_GB2312"/>
          <w:b/>
          <w:sz w:val="32"/>
          <w:szCs w:val="32"/>
          <w:lang w:val="en-US" w:eastAsia="zh-CN"/>
        </w:rPr>
        <w:t>（五）监督保障方面</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街道高度重视政府信息公开工作，建立由分管领导主管，党政办主任负责，政务公开联络员、工作人员共同参与的组织架构。主要领导不定期听取街道信息公开工作情况汇报，围绕信息公开工作年度目标任务和工作重点，按照职责分工，部署相关工作。街道党政办公室承办本街道政府信息公开工作，负责政府信息公开工作的日常管理和综合协调，各科室密切协作、协同联动，共同推进信息公开工作提质增效。同时，街道信息公开工作人员积极参加区府办政务公开科组织的各类培训会议，进一步提升政府信息公开业务工作水平。2022年未发生因被投诉举报等被追究责任的情况。</w:t>
      </w:r>
    </w:p>
    <w:p>
      <w:pPr>
        <w:spacing w:line="560" w:lineRule="exact"/>
        <w:ind w:firstLine="440" w:firstLineChars="200"/>
        <w:rPr>
          <w:rFonts w:hint="default" w:ascii="宋体" w:hAnsi="宋体" w:cs="宋体"/>
          <w:color w:val="auto"/>
          <w:sz w:val="22"/>
          <w:szCs w:val="2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firstLine="320" w:firstLineChars="100"/>
        <w:jc w:val="both"/>
        <w:rPr>
          <w:rFonts w:hint="eastAsia" w:ascii="黑体" w:hAnsi="黑体" w:eastAsia="黑体" w:cs="黑体"/>
          <w:b w:val="0"/>
          <w:bCs w:val="0"/>
          <w:color w:val="auto"/>
          <w:kern w:val="0"/>
          <w:sz w:val="32"/>
          <w:szCs w:val="32"/>
          <w:lang w:val="zh-CN" w:eastAsia="zh-CN" w:bidi="ar-SA"/>
        </w:rPr>
      </w:pPr>
      <w:r>
        <w:rPr>
          <w:rFonts w:hint="eastAsia" w:ascii="黑体" w:hAnsi="黑体" w:eastAsia="黑体" w:cs="黑体"/>
          <w:b w:val="0"/>
          <w:bCs w:val="0"/>
          <w:color w:val="auto"/>
          <w:kern w:val="0"/>
          <w:sz w:val="32"/>
          <w:szCs w:val="32"/>
          <w:lang w:val="zh-CN" w:eastAsia="zh-CN" w:bidi="ar-SA"/>
        </w:rPr>
        <w:t>二、主动公开政府信息情况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420" w:leftChars="0" w:right="0" w:rightChars="0"/>
        <w:jc w:val="both"/>
        <w:rPr>
          <w:rFonts w:hint="eastAsia" w:ascii="宋体" w:hAnsi="宋体" w:eastAsia="宋体" w:cs="宋体"/>
          <w:b/>
          <w:i w:val="0"/>
          <w:caps w:val="0"/>
          <w:color w:val="333333"/>
          <w:spacing w:val="0"/>
          <w:sz w:val="22"/>
          <w:szCs w:val="22"/>
          <w:shd w:val="clear" w:color="auto" w:fill="auto"/>
        </w:rPr>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本年</w:t>
            </w:r>
            <w:r>
              <w:rPr>
                <w:rFonts w:hint="eastAsia" w:ascii="宋体" w:hAnsi="宋体" w:eastAsia="宋体" w:cs="宋体"/>
                <w:kern w:val="0"/>
                <w:sz w:val="20"/>
                <w:szCs w:val="20"/>
                <w:shd w:val="clear" w:color="auto" w:fill="auto"/>
                <w:lang w:val="en-US" w:eastAsia="zh-CN"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现行有效件</w:t>
            </w:r>
            <w:r>
              <w:rPr>
                <w:rFonts w:hint="eastAsia" w:ascii="宋体" w:hAnsi="宋体" w:eastAsia="宋体" w:cs="宋体"/>
                <w:kern w:val="0"/>
                <w:sz w:val="20"/>
                <w:szCs w:val="20"/>
                <w:shd w:val="clear" w:color="auto" w:fill="auto"/>
                <w:lang w:val="en-US" w:eastAsia="zh-CN"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color w:val="000000"/>
                <w:kern w:val="0"/>
                <w:sz w:val="20"/>
                <w:szCs w:val="20"/>
                <w:shd w:val="clear" w:color="auto" w:fill="auto"/>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lang w:val="en-US" w:eastAsia="zh-CN"/>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color w:val="000000"/>
                <w:kern w:val="0"/>
                <w:sz w:val="20"/>
                <w:szCs w:val="20"/>
                <w:shd w:val="clear" w:color="auto" w:fill="auto"/>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lang w:val="en-US" w:eastAsia="zh-CN"/>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color w:val="000000"/>
                <w:kern w:val="0"/>
                <w:sz w:val="20"/>
                <w:szCs w:val="20"/>
                <w:shd w:val="clear" w:color="auto" w:fill="auto"/>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00" w:firstLineChars="100"/>
              <w:jc w:val="center"/>
              <w:rPr>
                <w:shd w:val="clear" w:color="auto" w:fill="auto"/>
              </w:rPr>
            </w:pPr>
            <w:r>
              <w:rPr>
                <w:rFonts w:hint="eastAsia" w:ascii="宋体" w:hAnsi="宋体" w:cs="宋体"/>
                <w:color w:val="auto"/>
                <w:kern w:val="0"/>
                <w:sz w:val="20"/>
                <w:szCs w:val="20"/>
                <w:shd w:val="clear" w:color="auto" w:fill="auto"/>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color w:val="000000"/>
                <w:kern w:val="0"/>
                <w:sz w:val="20"/>
                <w:szCs w:val="20"/>
                <w:shd w:val="clear" w:color="auto" w:fill="auto"/>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shd w:val="clear" w:color="auto" w:fill="auto"/>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color w:val="000000"/>
                <w:kern w:val="0"/>
                <w:sz w:val="20"/>
                <w:szCs w:val="20"/>
                <w:shd w:val="clear" w:color="auto" w:fill="auto"/>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rPr>
            </w:pPr>
            <w:r>
              <w:rPr>
                <w:rFonts w:hint="eastAsia" w:ascii="宋体" w:hAnsi="宋体" w:cs="宋体"/>
                <w:color w:val="auto"/>
                <w:kern w:val="0"/>
                <w:sz w:val="20"/>
                <w:szCs w:val="20"/>
                <w:shd w:val="clear" w:color="auto" w:fill="auto"/>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hd w:val="clear" w:color="auto" w:fill="auto"/>
                <w:lang w:val="en-US"/>
              </w:rPr>
            </w:pPr>
            <w:r>
              <w:rPr>
                <w:rFonts w:hint="eastAsia" w:ascii="宋体" w:hAnsi="宋体" w:eastAsia="宋体" w:cs="宋体"/>
                <w:color w:val="auto"/>
                <w:kern w:val="0"/>
                <w:sz w:val="20"/>
                <w:szCs w:val="20"/>
                <w:shd w:val="clear" w:color="auto" w:fill="auto"/>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ind w:firstLine="200" w:firstLineChars="100"/>
              <w:jc w:val="center"/>
              <w:rPr>
                <w:rFonts w:hint="eastAsia" w:ascii="宋体"/>
                <w:color w:val="auto"/>
                <w:sz w:val="24"/>
                <w:szCs w:val="24"/>
                <w:shd w:val="clear" w:color="auto" w:fill="auto"/>
                <w:lang w:val="en-US"/>
              </w:rPr>
            </w:pPr>
            <w:r>
              <w:rPr>
                <w:rFonts w:hint="eastAsia" w:ascii="宋体" w:hAnsi="宋体" w:cs="宋体"/>
                <w:color w:val="auto"/>
                <w:kern w:val="0"/>
                <w:sz w:val="20"/>
                <w:szCs w:val="20"/>
                <w:shd w:val="clear" w:color="auto" w:fill="auto"/>
                <w:lang w:val="en-US" w:eastAsia="zh-CN" w:bidi="ar"/>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firstLine="241" w:firstLineChars="100"/>
        <w:jc w:val="both"/>
        <w:rPr>
          <w:rFonts w:hint="eastAsia" w:ascii="宋体" w:hAnsi="宋体" w:cs="Times New Roman"/>
          <w:b/>
          <w:bCs/>
          <w:color w:val="auto"/>
          <w:kern w:val="0"/>
          <w:sz w:val="24"/>
          <w:szCs w:val="24"/>
          <w:lang w:val="zh-CN" w:eastAsia="zh-CN" w:bidi="ar-SA"/>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firstLine="320" w:firstLineChars="100"/>
        <w:jc w:val="both"/>
        <w:rPr>
          <w:rFonts w:hint="eastAsia" w:ascii="黑体" w:hAnsi="黑体" w:eastAsia="黑体" w:cs="黑体"/>
          <w:b w:val="0"/>
          <w:bCs w:val="0"/>
          <w:color w:val="auto"/>
          <w:kern w:val="0"/>
          <w:sz w:val="32"/>
          <w:szCs w:val="32"/>
          <w:lang w:val="zh-CN" w:eastAsia="zh-CN" w:bidi="ar-SA"/>
        </w:rPr>
      </w:pPr>
      <w:r>
        <w:rPr>
          <w:rFonts w:hint="eastAsia" w:ascii="黑体" w:hAnsi="黑体" w:eastAsia="黑体" w:cs="黑体"/>
          <w:b w:val="0"/>
          <w:bCs w:val="0"/>
          <w:color w:val="auto"/>
          <w:kern w:val="0"/>
          <w:sz w:val="32"/>
          <w:szCs w:val="32"/>
          <w:lang w:val="zh-CN" w:eastAsia="zh-CN" w:bidi="ar-SA"/>
        </w:rPr>
        <w:t>三、收到和处理政府信息公开申请情况</w:t>
      </w:r>
    </w:p>
    <w:tbl>
      <w:tblPr>
        <w:tblStyle w:val="6"/>
        <w:tblpPr w:leftFromText="180" w:rightFromText="180" w:vertAnchor="text" w:horzAnchor="page" w:tblpX="1392" w:tblpY="182"/>
        <w:tblOverlap w:val="never"/>
        <w:tblW w:w="974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4"/>
        <w:gridCol w:w="949"/>
        <w:gridCol w:w="3293"/>
        <w:gridCol w:w="698"/>
        <w:gridCol w:w="698"/>
        <w:gridCol w:w="698"/>
        <w:gridCol w:w="698"/>
        <w:gridCol w:w="698"/>
        <w:gridCol w:w="698"/>
        <w:gridCol w:w="5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016"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ascii="楷体" w:hAnsi="楷体" w:eastAsia="楷体" w:cs="楷体"/>
                <w:kern w:val="0"/>
                <w:sz w:val="20"/>
                <w:szCs w:val="20"/>
                <w:shd w:val="clear" w:color="auto" w:fill="auto"/>
                <w:lang w:val="en-US" w:eastAsia="zh-CN" w:bidi="ar"/>
              </w:rPr>
              <w:t>（本列数据的勾稽关系为：第一项加第二项之和，等于第三项加第四项之和）</w:t>
            </w:r>
          </w:p>
        </w:tc>
        <w:tc>
          <w:tcPr>
            <w:tcW w:w="4727"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016"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98"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自然人</w:t>
            </w:r>
          </w:p>
        </w:tc>
        <w:tc>
          <w:tcPr>
            <w:tcW w:w="3490" w:type="dxa"/>
            <w:gridSpan w:val="5"/>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法人或其他组织</w:t>
            </w:r>
          </w:p>
        </w:tc>
        <w:tc>
          <w:tcPr>
            <w:tcW w:w="539"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016"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98" w:type="dxa"/>
            <w:vMerge w:val="continue"/>
            <w:tcBorders>
              <w:top w:val="nil"/>
              <w:left w:val="nil"/>
              <w:bottom w:val="single"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企业</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机构</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社会公益组织</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法律服务机构</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宋体" w:hAnsi="宋体" w:eastAsia="宋体" w:cs="宋体"/>
                <w:kern w:val="0"/>
                <w:sz w:val="20"/>
                <w:szCs w:val="20"/>
                <w:shd w:val="clear" w:color="auto" w:fill="auto"/>
                <w:lang w:val="en-US" w:eastAsia="zh-CN" w:bidi="ar"/>
              </w:rPr>
              <w:t>其他</w:t>
            </w:r>
          </w:p>
        </w:tc>
        <w:tc>
          <w:tcPr>
            <w:tcW w:w="539"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01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一、本年新收政府信息公开申请数量</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20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shd w:val="clear" w:color="auto" w:fill="auto"/>
                <w:lang w:val="en-US" w:eastAsia="zh-CN"/>
              </w:rPr>
            </w:pPr>
            <w:r>
              <w:rPr>
                <w:rFonts w:hint="eastAsia"/>
                <w:shd w:val="clear" w:color="auto" w:fill="auto"/>
                <w:lang w:val="en-US" w:eastAsia="zh-CN"/>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01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二、上年结转政府信息公开申请数量</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shd w:val="clear" w:color="auto" w:fill="auto"/>
                <w:lang w:val="en-US" w:eastAsia="zh-CN"/>
              </w:rPr>
            </w:pPr>
            <w:r>
              <w:rPr>
                <w:rFonts w:hint="eastAsia"/>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三、本年度办理结果</w:t>
            </w:r>
          </w:p>
        </w:tc>
        <w:tc>
          <w:tcPr>
            <w:tcW w:w="4242" w:type="dxa"/>
            <w:gridSpan w:val="2"/>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（一）予以公开</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hd w:val="clear" w:color="auto" w:fill="auto"/>
                <w:lang w:val="en-US" w:eastAsia="zh-CN"/>
              </w:rPr>
            </w:pPr>
            <w:r>
              <w:rPr>
                <w:rFonts w:hint="eastAsia"/>
                <w:color w:val="auto"/>
                <w:shd w:val="clear" w:color="auto" w:fill="auto"/>
                <w:lang w:val="en-US" w:eastAsia="zh-CN"/>
              </w:rPr>
              <w:t>4</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hd w:val="clear" w:color="auto" w:fill="auto"/>
                <w:lang w:val="en-US" w:eastAsia="zh-CN"/>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hd w:val="clear" w:color="auto" w:fill="auto"/>
              </w:rPr>
            </w:pPr>
            <w:r>
              <w:rPr>
                <w:rFonts w:hint="eastAsia"/>
                <w:color w:val="auto"/>
                <w:shd w:val="clear" w:color="auto" w:fill="auto"/>
                <w:lang w:val="en-US" w:eastAsia="zh-CN"/>
              </w:rPr>
              <w:t>0</w:t>
            </w:r>
          </w:p>
        </w:tc>
        <w:tc>
          <w:tcPr>
            <w:tcW w:w="539"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hd w:val="clear" w:color="auto" w:fill="auto"/>
                <w:lang w:val="en-US" w:eastAsia="zh-CN"/>
              </w:rPr>
            </w:pPr>
            <w:r>
              <w:rPr>
                <w:rFonts w:hint="eastAsia"/>
                <w:shd w:val="clear" w:color="auto" w:fill="auto"/>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4242" w:type="dxa"/>
            <w:gridSpan w:val="2"/>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（二）部分公开</w:t>
            </w:r>
            <w:r>
              <w:rPr>
                <w:rFonts w:hint="eastAsia" w:ascii="楷体" w:hAnsi="楷体" w:eastAsia="楷体" w:cs="楷体"/>
                <w:kern w:val="0"/>
                <w:sz w:val="20"/>
                <w:szCs w:val="20"/>
                <w:shd w:val="clear" w:color="auto" w:fill="auto"/>
                <w:lang w:val="en-US" w:eastAsia="zh-CN" w:bidi="ar"/>
              </w:rPr>
              <w:t>（区分处理的，只计这一情形，不计其他情形）</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（三）不予公开</w:t>
            </w:r>
          </w:p>
        </w:tc>
        <w:tc>
          <w:tcPr>
            <w:tcW w:w="329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1.属于国家秘密</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single" w:color="auto" w:sz="8" w:space="0"/>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2.其他法律行政法规禁止公开</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3.危及“三安全一稳定”</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4.保护第三方合法权益</w:t>
            </w:r>
          </w:p>
        </w:tc>
        <w:tc>
          <w:tcPr>
            <w:tcW w:w="69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5.属于三类内部事务信息</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6.属于四类过程性信息</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7.属于行政执法案卷</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8.属于行政查询事项</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（四）无法提供</w:t>
            </w: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1.本机关不掌握相关政府信息</w:t>
            </w:r>
          </w:p>
        </w:tc>
        <w:tc>
          <w:tcPr>
            <w:tcW w:w="69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olor w:val="auto"/>
                <w:shd w:val="clear" w:color="auto" w:fill="auto"/>
                <w:lang w:val="en-US" w:eastAsia="zh-CN"/>
              </w:rPr>
              <w:t>4</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olor w:val="auto"/>
                <w:shd w:val="clear" w:color="auto" w:fill="auto"/>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2.没有现成信息需要另行制作</w:t>
            </w:r>
          </w:p>
        </w:tc>
        <w:tc>
          <w:tcPr>
            <w:tcW w:w="69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olor w:val="auto"/>
                <w:shd w:val="clear" w:color="auto" w:fill="auto"/>
                <w:lang w:val="en-US" w:eastAsia="zh-CN"/>
              </w:rPr>
              <w:t>2</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olor w:val="auto"/>
                <w:shd w:val="clear" w:color="auto" w:fil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3.补正后申请内容仍不明确</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（五）不予处理</w:t>
            </w: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1.信访举报投诉类申请</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2.重复申请</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3.要求提供公开出版物</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4.无正当理由大量反复申请</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hd w:val="clear" w:color="auto" w:fill="auto"/>
              </w:rPr>
            </w:pPr>
            <w:r>
              <w:rPr>
                <w:rFonts w:hint="eastAsia" w:ascii="宋体" w:hAnsi="宋体" w:eastAsia="宋体" w:cs="宋体"/>
                <w:kern w:val="0"/>
                <w:sz w:val="20"/>
                <w:szCs w:val="20"/>
                <w:shd w:val="clear" w:color="auto" w:fill="auto"/>
                <w:lang w:val="en-US" w:eastAsia="zh-CN" w:bidi="ar"/>
              </w:rPr>
              <w:t>5.要求行政机关确认或重新出具已获取信息</w:t>
            </w:r>
          </w:p>
        </w:tc>
        <w:tc>
          <w:tcPr>
            <w:tcW w:w="69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（六）其他处理</w:t>
            </w:r>
          </w:p>
        </w:tc>
        <w:tc>
          <w:tcPr>
            <w:tcW w:w="3293"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hd w:val="clear" w:color="auto" w:fill="auto"/>
              </w:rPr>
            </w:pPr>
            <w:r>
              <w:rPr>
                <w:rFonts w:hint="eastAsia" w:ascii="宋体" w:hAnsi="宋体" w:eastAsia="宋体" w:cs="宋体"/>
                <w:kern w:val="0"/>
                <w:sz w:val="20"/>
                <w:szCs w:val="20"/>
                <w:shd w:val="clear" w:color="auto" w:fill="auto"/>
                <w:lang w:val="en-US" w:eastAsia="zh-CN" w:bidi="ar"/>
              </w:rPr>
              <w:t>1.申请人无正当理由逾期不补正、行政机关不再处理其政府信息公开申请</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2</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hd w:val="clear" w:color="auto" w:fill="auto"/>
              </w:rPr>
            </w:pPr>
            <w:r>
              <w:rPr>
                <w:rFonts w:hint="eastAsia" w:ascii="宋体" w:hAnsi="宋体" w:eastAsia="宋体" w:cs="宋体"/>
                <w:kern w:val="0"/>
                <w:sz w:val="20"/>
                <w:szCs w:val="20"/>
                <w:shd w:val="clear" w:color="auto" w:fill="auto"/>
                <w:lang w:val="en-US" w:eastAsia="zh-CN" w:bidi="ar"/>
              </w:rPr>
              <w:t>2.申请人逾期未按收费通知要求缴纳费用、行政机关不再处理其政府信息公开申请</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949"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3293"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3.其他</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8</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4"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shd w:val="clear" w:color="auto" w:fill="auto"/>
              </w:rPr>
            </w:pPr>
          </w:p>
        </w:tc>
        <w:tc>
          <w:tcPr>
            <w:tcW w:w="424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（七）总计</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s="Calibri"/>
                <w:kern w:val="0"/>
                <w:sz w:val="20"/>
                <w:szCs w:val="20"/>
                <w:shd w:val="clear" w:color="auto" w:fill="auto"/>
                <w:lang w:val="en-US" w:eastAsia="zh-CN" w:bidi="ar"/>
              </w:rPr>
              <w:t>20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cs="Calibri"/>
                <w:kern w:val="0"/>
                <w:sz w:val="20"/>
                <w:szCs w:val="20"/>
                <w:shd w:val="clear" w:color="auto" w:fill="auto"/>
                <w:lang w:val="en-US" w:eastAsia="zh-CN" w:bidi="ar"/>
              </w:rPr>
              <w:t>20</w:t>
            </w:r>
            <w:r>
              <w:rPr>
                <w:rFonts w:hint="default" w:ascii="Calibri" w:hAnsi="Calibri" w:eastAsia="宋体" w:cs="Calibri"/>
                <w:kern w:val="0"/>
                <w:sz w:val="20"/>
                <w:szCs w:val="20"/>
                <w:shd w:val="clear" w:color="auto" w:fill="auto"/>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01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eastAsia" w:ascii="宋体" w:hAnsi="宋体" w:eastAsia="宋体" w:cs="宋体"/>
                <w:kern w:val="0"/>
                <w:sz w:val="20"/>
                <w:szCs w:val="20"/>
                <w:shd w:val="clear" w:color="auto" w:fill="auto"/>
                <w:lang w:val="en-US" w:eastAsia="zh-CN" w:bidi="ar"/>
              </w:rPr>
              <w:t>四、结转下年度继续办理</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eastAsia="宋体" w:cs="Calibri"/>
                <w:kern w:val="0"/>
                <w:sz w:val="20"/>
                <w:szCs w:val="20"/>
                <w:shd w:val="clear" w:color="auto" w:fill="auto"/>
                <w:lang w:val="en-US" w:eastAsia="zh-CN" w:bidi="ar"/>
              </w:rPr>
              <w:t> </w:t>
            </w:r>
            <w:r>
              <w:rPr>
                <w:rFonts w:hint="eastAsia" w:cs="Calibri"/>
                <w:kern w:val="0"/>
                <w:sz w:val="20"/>
                <w:szCs w:val="20"/>
                <w:shd w:val="clear" w:color="auto" w:fill="auto"/>
                <w:lang w:val="en-US" w:eastAsia="zh-CN"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eastAsia="宋体" w:cs="Calibri"/>
                <w:kern w:val="0"/>
                <w:sz w:val="20"/>
                <w:szCs w:val="20"/>
                <w:shd w:val="clear" w:color="auto" w:fill="auto"/>
                <w:lang w:val="en-US" w:eastAsia="zh-CN" w:bidi="ar"/>
              </w:rPr>
              <w:t> </w:t>
            </w:r>
            <w:r>
              <w:rPr>
                <w:rFonts w:hint="eastAsia" w:cs="Calibri"/>
                <w:kern w:val="0"/>
                <w:sz w:val="20"/>
                <w:szCs w:val="20"/>
                <w:shd w:val="clear" w:color="auto" w:fill="auto"/>
                <w:lang w:val="en-US" w:eastAsia="zh-CN"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69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hd w:val="clear" w:color="auto" w:fill="auto"/>
              </w:rPr>
            </w:pPr>
            <w:r>
              <w:rPr>
                <w:rFonts w:hint="eastAsia"/>
                <w:color w:val="auto"/>
                <w:shd w:val="clear" w:color="auto" w:fill="auto"/>
                <w:lang w:val="en-US" w:eastAsia="zh-CN"/>
              </w:rPr>
              <w:t>0</w:t>
            </w:r>
          </w:p>
        </w:tc>
        <w:tc>
          <w:tcPr>
            <w:tcW w:w="53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shd w:val="clear" w:color="auto" w:fill="auto"/>
              </w:rPr>
            </w:pPr>
            <w:r>
              <w:rPr>
                <w:rFonts w:hint="eastAsia"/>
                <w:color w:val="auto"/>
                <w:shd w:val="clear" w:color="auto" w:fill="auto"/>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420"/>
        <w:jc w:val="both"/>
        <w:rPr>
          <w:rFonts w:hint="eastAsia" w:ascii="宋体" w:hAnsi="宋体" w:eastAsia="宋体" w:cs="宋体"/>
          <w:i w:val="0"/>
          <w:caps w:val="0"/>
          <w:color w:val="333333"/>
          <w:spacing w:val="0"/>
          <w:sz w:val="19"/>
          <w:szCs w:val="19"/>
          <w:shd w:val="clear" w:color="auto" w:fill="auto"/>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420"/>
        <w:jc w:val="both"/>
        <w:rPr>
          <w:rFonts w:hint="eastAsia" w:ascii="宋体" w:hAnsi="宋体" w:eastAsia="宋体" w:cs="宋体"/>
          <w:i w:val="0"/>
          <w:caps w:val="0"/>
          <w:color w:val="333333"/>
          <w:spacing w:val="0"/>
          <w:sz w:val="19"/>
          <w:szCs w:val="19"/>
          <w:shd w:val="clear" w:color="auto" w:fill="auto"/>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firstLine="320" w:firstLineChars="100"/>
        <w:jc w:val="both"/>
        <w:rPr>
          <w:rFonts w:hint="eastAsia" w:ascii="宋体" w:hAnsi="宋体" w:eastAsia="宋体" w:cs="Times New Roman"/>
          <w:b w:val="0"/>
          <w:bCs w:val="0"/>
          <w:color w:val="auto"/>
          <w:kern w:val="0"/>
          <w:sz w:val="24"/>
          <w:szCs w:val="24"/>
          <w:lang w:val="zh-CN" w:eastAsia="zh-CN" w:bidi="ar-SA"/>
        </w:rPr>
      </w:pPr>
      <w:r>
        <w:rPr>
          <w:rFonts w:hint="eastAsia" w:ascii="黑体" w:hAnsi="黑体" w:eastAsia="黑体" w:cs="黑体"/>
          <w:b w:val="0"/>
          <w:bCs w:val="0"/>
          <w:color w:val="auto"/>
          <w:kern w:val="0"/>
          <w:sz w:val="32"/>
          <w:szCs w:val="32"/>
          <w:lang w:val="en-US" w:eastAsia="zh-CN" w:bidi="ar-SA"/>
        </w:rPr>
        <w:t>四、</w:t>
      </w:r>
      <w:r>
        <w:rPr>
          <w:rFonts w:hint="eastAsia" w:ascii="黑体" w:hAnsi="黑体" w:eastAsia="黑体" w:cs="黑体"/>
          <w:b w:val="0"/>
          <w:bCs w:val="0"/>
          <w:color w:val="auto"/>
          <w:kern w:val="0"/>
          <w:sz w:val="32"/>
          <w:szCs w:val="32"/>
          <w:lang w:val="zh-CN" w:eastAsia="zh-CN" w:bidi="ar-SA"/>
        </w:rPr>
        <w:t>政府信息公开行政复议、行政诉讼情况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jc w:val="both"/>
        <w:rPr>
          <w:rFonts w:hint="eastAsia" w:ascii="宋体" w:hAnsi="宋体" w:eastAsia="宋体" w:cs="宋体"/>
          <w:b/>
          <w:i w:val="0"/>
          <w:caps w:val="0"/>
          <w:color w:val="333333"/>
          <w:spacing w:val="0"/>
          <w:sz w:val="19"/>
          <w:szCs w:val="19"/>
          <w:shd w:val="clear" w:color="auto" w:fill="auto"/>
        </w:rPr>
      </w:pPr>
    </w:p>
    <w:tbl>
      <w:tblPr>
        <w:tblStyle w:val="6"/>
        <w:tblW w:w="973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行政复议</w:t>
            </w:r>
          </w:p>
        </w:tc>
        <w:tc>
          <w:tcPr>
            <w:tcW w:w="65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结果</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其他</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尚未</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shd w:val="clear" w:color="auto" w:fill="auto"/>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结果</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结果</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其他</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尚未</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结果</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结果</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其他</w:t>
            </w:r>
            <w:r>
              <w:rPr>
                <w:rFonts w:hint="eastAsia" w:ascii="宋体" w:hAnsi="宋体" w:eastAsia="宋体" w:cs="宋体"/>
                <w:color w:val="000000"/>
                <w:kern w:val="0"/>
                <w:sz w:val="20"/>
                <w:szCs w:val="20"/>
                <w:shd w:val="clear" w:color="auto" w:fill="auto"/>
                <w:lang w:val="en-US" w:eastAsia="zh-CN" w:bidi="ar"/>
              </w:rPr>
              <w:br w:type="textWrapping"/>
            </w:r>
            <w:r>
              <w:rPr>
                <w:rFonts w:hint="eastAsia" w:ascii="宋体" w:hAnsi="宋体" w:eastAsia="宋体" w:cs="宋体"/>
                <w:color w:val="000000"/>
                <w:kern w:val="0"/>
                <w:sz w:val="20"/>
                <w:szCs w:val="20"/>
                <w:shd w:val="clear" w:color="auto" w:fill="auto"/>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kern w:val="0"/>
                <w:sz w:val="20"/>
                <w:szCs w:val="20"/>
                <w:shd w:val="clear" w:color="auto" w:fill="auto"/>
                <w:lang w:val="en-US" w:eastAsia="zh-CN" w:bidi="ar"/>
              </w:rPr>
              <w:t>尚未</w:t>
            </w:r>
            <w:r>
              <w:rPr>
                <w:rFonts w:hint="eastAsia" w:ascii="宋体" w:hAnsi="宋体" w:eastAsia="宋体" w:cs="宋体"/>
                <w:kern w:val="0"/>
                <w:sz w:val="20"/>
                <w:szCs w:val="20"/>
                <w:shd w:val="clear" w:color="auto" w:fill="auto"/>
                <w:lang w:val="en-US" w:eastAsia="zh-CN" w:bidi="ar"/>
              </w:rPr>
              <w:br w:type="textWrapping"/>
            </w:r>
            <w:r>
              <w:rPr>
                <w:rFonts w:hint="eastAsia" w:ascii="宋体" w:hAnsi="宋体" w:eastAsia="宋体" w:cs="宋体"/>
                <w:kern w:val="0"/>
                <w:sz w:val="20"/>
                <w:szCs w:val="20"/>
                <w:shd w:val="clear" w:color="auto" w:fill="auto"/>
                <w:lang w:val="en-US" w:eastAsia="zh-CN" w:bidi="ar"/>
              </w:rPr>
              <w:t>审结</w:t>
            </w:r>
          </w:p>
        </w:tc>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hd w:val="clear" w:color="auto" w:fill="auto"/>
              </w:rPr>
            </w:pPr>
            <w:r>
              <w:rPr>
                <w:rFonts w:hint="eastAsia" w:ascii="黑体" w:hAnsi="宋体" w:eastAsia="黑体" w:cs="黑体"/>
                <w:kern w:val="0"/>
                <w:sz w:val="20"/>
                <w:szCs w:val="20"/>
                <w:shd w:val="clear" w:color="auto" w:fill="auto"/>
                <w:lang w:val="en-US" w:eastAsia="zh-CN" w:bidi="ar"/>
              </w:rPr>
              <w:t>0</w:t>
            </w:r>
          </w:p>
        </w:tc>
        <w:tc>
          <w:tcPr>
            <w:tcW w:w="743"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shd w:val="clear" w:color="auto" w:fill="auto"/>
                <w:lang w:val="en-US" w:eastAsia="zh-CN"/>
              </w:rPr>
            </w:pPr>
            <w:r>
              <w:rPr>
                <w:rFonts w:hint="eastAsia" w:ascii="宋体"/>
                <w:sz w:val="24"/>
                <w:szCs w:val="24"/>
                <w:shd w:val="clear" w:color="auto" w:fill="auto"/>
                <w:lang w:val="en-US" w:eastAsia="zh-CN"/>
              </w:rPr>
              <w:t>0</w:t>
            </w:r>
          </w:p>
        </w:tc>
      </w:tr>
    </w:tbl>
    <w:p>
      <w:pPr>
        <w:keepNext/>
        <w:keepLines/>
        <w:numPr>
          <w:ilvl w:val="0"/>
          <w:numId w:val="0"/>
        </w:numPr>
        <w:suppressLineNumbers/>
        <w:spacing w:beforeLines="0" w:after="375" w:afterLines="0" w:line="560" w:lineRule="exact"/>
        <w:ind w:firstLine="482" w:firstLineChars="200"/>
        <w:rPr>
          <w:rFonts w:hint="eastAsia" w:ascii="宋体" w:hAnsi="宋体"/>
          <w:b/>
          <w:bCs/>
          <w:color w:val="auto"/>
          <w:kern w:val="0"/>
          <w:sz w:val="24"/>
          <w:lang w:val="en-US" w:eastAsia="zh-CN"/>
        </w:rPr>
      </w:pPr>
    </w:p>
    <w:p>
      <w:pPr>
        <w:keepNext/>
        <w:keepLines/>
        <w:numPr>
          <w:ilvl w:val="0"/>
          <w:numId w:val="1"/>
        </w:numPr>
        <w:suppressLineNumbers/>
        <w:spacing w:beforeLines="0" w:after="375" w:afterLines="0" w:line="560" w:lineRule="exact"/>
        <w:ind w:firstLine="480"/>
        <w:rPr>
          <w:rFonts w:hint="eastAsia" w:ascii="黑体" w:hAnsi="黑体" w:eastAsia="黑体" w:cs="黑体"/>
          <w:b w:val="0"/>
          <w:bCs w:val="0"/>
          <w:color w:val="auto"/>
          <w:kern w:val="0"/>
          <w:sz w:val="32"/>
          <w:szCs w:val="32"/>
          <w:lang w:val="zh-CN"/>
        </w:rPr>
      </w:pPr>
      <w:r>
        <w:rPr>
          <w:rFonts w:hint="eastAsia" w:ascii="黑体" w:hAnsi="黑体" w:eastAsia="黑体" w:cs="黑体"/>
          <w:b w:val="0"/>
          <w:bCs w:val="0"/>
          <w:color w:val="auto"/>
          <w:kern w:val="0"/>
          <w:sz w:val="32"/>
          <w:szCs w:val="32"/>
          <w:lang w:val="zh-CN"/>
        </w:rPr>
        <w:t>存在的主要问题及改进情</w:t>
      </w:r>
      <w:r>
        <w:rPr>
          <w:rFonts w:hint="eastAsia" w:ascii="黑体" w:hAnsi="黑体" w:eastAsia="黑体" w:cs="黑体"/>
          <w:b w:val="0"/>
          <w:bCs w:val="0"/>
          <w:kern w:val="0"/>
          <w:sz w:val="32"/>
          <w:szCs w:val="32"/>
          <w:lang w:val="zh-CN"/>
        </w:rPr>
        <w:t>况</w:t>
      </w:r>
    </w:p>
    <w:p>
      <w:pPr>
        <w:spacing w:line="560" w:lineRule="exact"/>
        <w:ind w:firstLine="640" w:firstLineChars="20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2022年，石泉路街道在</w:t>
      </w:r>
      <w:r>
        <w:rPr>
          <w:rFonts w:hint="eastAsia" w:ascii="仿宋_GB2312" w:hAnsi="Times New Roman" w:eastAsia="仿宋_GB2312" w:cs="Times New Roman"/>
          <w:sz w:val="32"/>
          <w:szCs w:val="32"/>
          <w:lang w:val="zh-CN" w:eastAsia="zh-CN"/>
        </w:rPr>
        <w:t>政府信息公开工作</w:t>
      </w:r>
      <w:r>
        <w:rPr>
          <w:rFonts w:hint="eastAsia" w:ascii="仿宋_GB2312" w:hAnsi="Times New Roman" w:eastAsia="仿宋_GB2312" w:cs="Times New Roman"/>
          <w:sz w:val="32"/>
          <w:szCs w:val="32"/>
          <w:lang w:val="en-US" w:eastAsia="zh-CN"/>
        </w:rPr>
        <w:t>虽然取得一定的成效，但</w:t>
      </w:r>
      <w:r>
        <w:rPr>
          <w:rFonts w:hint="eastAsia" w:ascii="仿宋_GB2312" w:hAnsi="Times New Roman" w:eastAsia="仿宋_GB2312" w:cs="Times New Roman"/>
          <w:sz w:val="32"/>
          <w:szCs w:val="32"/>
          <w:lang w:val="zh-CN" w:eastAsia="zh-CN"/>
        </w:rPr>
        <w:t>还存在</w:t>
      </w:r>
      <w:r>
        <w:rPr>
          <w:rFonts w:hint="eastAsia" w:ascii="仿宋_GB2312" w:hAnsi="Times New Roman" w:eastAsia="仿宋_GB2312" w:cs="Times New Roman"/>
          <w:sz w:val="32"/>
          <w:szCs w:val="32"/>
          <w:lang w:val="en-US" w:eastAsia="zh-CN"/>
        </w:rPr>
        <w:t>以下的不足：</w:t>
      </w:r>
      <w:r>
        <w:rPr>
          <w:rFonts w:hint="eastAsia" w:ascii="仿宋_GB2312" w:hAnsi="Times New Roman" w:eastAsia="仿宋_GB2312" w:cs="Times New Roman"/>
          <w:sz w:val="32"/>
          <w:szCs w:val="32"/>
          <w:lang w:val="zh-CN" w:eastAsia="zh-CN"/>
        </w:rPr>
        <w:t>一是</w:t>
      </w:r>
      <w:r>
        <w:rPr>
          <w:rFonts w:hint="eastAsia" w:ascii="仿宋_GB2312" w:hAnsi="Times New Roman" w:eastAsia="仿宋_GB2312" w:cs="Times New Roman"/>
          <w:sz w:val="32"/>
          <w:szCs w:val="32"/>
          <w:lang w:val="en-US" w:eastAsia="zh-CN"/>
        </w:rPr>
        <w:t>政府信息主动公开的力度有待加强；二是政府信息公开的质量有待提高；三是工作人员专业理论水平有待提升。</w:t>
      </w:r>
    </w:p>
    <w:p>
      <w:pPr>
        <w:spacing w:line="560" w:lineRule="exact"/>
        <w:ind w:firstLine="640" w:firstLineChars="200"/>
        <w:rPr>
          <w:rFonts w:hint="eastAsia" w:ascii="仿宋_GB2312" w:hAnsi="Times New Roman" w:eastAsia="仿宋_GB2312" w:cs="Times New Roman"/>
          <w:sz w:val="32"/>
          <w:szCs w:val="32"/>
          <w:highlight w:val="none"/>
          <w:u w:val="single"/>
          <w:lang w:val="en-US" w:eastAsia="zh-CN"/>
        </w:rPr>
      </w:pPr>
      <w:r>
        <w:rPr>
          <w:rFonts w:hint="eastAsia" w:ascii="仿宋_GB2312" w:hAnsi="Times New Roman" w:eastAsia="仿宋_GB2312" w:cs="Times New Roman"/>
          <w:sz w:val="32"/>
          <w:szCs w:val="32"/>
          <w:highlight w:val="none"/>
          <w:lang w:val="zh-CN" w:eastAsia="zh-CN"/>
        </w:rPr>
        <w:t>针对</w:t>
      </w:r>
      <w:r>
        <w:rPr>
          <w:rFonts w:hint="eastAsia" w:ascii="仿宋_GB2312" w:hAnsi="Times New Roman" w:eastAsia="仿宋_GB2312" w:cs="Times New Roman"/>
          <w:sz w:val="32"/>
          <w:szCs w:val="32"/>
          <w:highlight w:val="none"/>
          <w:lang w:val="en-US" w:eastAsia="zh-CN"/>
        </w:rPr>
        <w:t>2021年的</w:t>
      </w:r>
      <w:r>
        <w:rPr>
          <w:rFonts w:hint="eastAsia" w:ascii="仿宋_GB2312" w:hAnsi="Times New Roman" w:eastAsia="仿宋_GB2312" w:cs="Times New Roman"/>
          <w:sz w:val="32"/>
          <w:szCs w:val="32"/>
          <w:highlight w:val="none"/>
          <w:lang w:val="zh-CN" w:eastAsia="zh-CN"/>
        </w:rPr>
        <w:t>不足，</w:t>
      </w:r>
      <w:r>
        <w:rPr>
          <w:rFonts w:hint="eastAsia" w:ascii="仿宋_GB2312" w:hAnsi="Times New Roman" w:eastAsia="仿宋_GB2312" w:cs="Times New Roman"/>
          <w:sz w:val="32"/>
          <w:szCs w:val="32"/>
          <w:highlight w:val="none"/>
          <w:lang w:val="en-US" w:eastAsia="zh-CN"/>
        </w:rPr>
        <w:t>街道着重</w:t>
      </w:r>
      <w:r>
        <w:rPr>
          <w:rFonts w:hint="eastAsia" w:ascii="仿宋_GB2312" w:hAnsi="Times New Roman" w:eastAsia="仿宋_GB2312" w:cs="Times New Roman"/>
          <w:sz w:val="32"/>
          <w:szCs w:val="32"/>
          <w:highlight w:val="none"/>
          <w:lang w:val="zh-CN" w:eastAsia="zh-CN"/>
        </w:rPr>
        <w:t>做好以下工作：</w:t>
      </w:r>
      <w:r>
        <w:rPr>
          <w:rFonts w:hint="eastAsia" w:ascii="仿宋_GB2312" w:hAnsi="Times New Roman" w:eastAsia="仿宋_GB2312" w:cs="Times New Roman"/>
          <w:sz w:val="32"/>
          <w:szCs w:val="32"/>
          <w:highlight w:val="none"/>
          <w:lang w:val="en-US" w:eastAsia="zh-CN"/>
        </w:rPr>
        <w:t>一是</w:t>
      </w:r>
      <w:r>
        <w:rPr>
          <w:rFonts w:hint="eastAsia" w:ascii="仿宋_GB2312" w:hAnsi="Times New Roman" w:eastAsia="仿宋_GB2312" w:cs="Times New Roman"/>
          <w:sz w:val="32"/>
          <w:szCs w:val="32"/>
          <w:highlight w:val="none"/>
          <w:lang w:val="zh-CN" w:eastAsia="zh-CN"/>
        </w:rPr>
        <w:t>丰富政务公开形式，</w:t>
      </w:r>
      <w:r>
        <w:rPr>
          <w:rFonts w:hint="eastAsia" w:ascii="仿宋_GB2312" w:hAnsi="Times New Roman" w:eastAsia="仿宋_GB2312" w:cs="Times New Roman"/>
          <w:sz w:val="32"/>
          <w:szCs w:val="32"/>
          <w:highlight w:val="none"/>
          <w:lang w:val="en-US" w:eastAsia="zh-CN"/>
        </w:rPr>
        <w:t>增强了创新意识，挖掘特色亮点，紧紧围绕街道中心工作，</w:t>
      </w:r>
      <w:r>
        <w:rPr>
          <w:rFonts w:hint="eastAsia" w:ascii="仿宋_GB2312" w:hAnsi="Times New Roman" w:eastAsia="仿宋_GB2312" w:cs="Times New Roman"/>
          <w:sz w:val="32"/>
          <w:szCs w:val="32"/>
          <w:highlight w:val="none"/>
          <w:lang w:val="zh-CN" w:eastAsia="zh-CN"/>
        </w:rPr>
        <w:t>以文字、图片相结合的形式，吸引群众关注政府信息公开，</w:t>
      </w:r>
      <w:r>
        <w:rPr>
          <w:rFonts w:hint="eastAsia" w:ascii="仿宋_GB2312" w:hAnsi="Times New Roman" w:eastAsia="仿宋_GB2312" w:cs="Times New Roman"/>
          <w:sz w:val="32"/>
          <w:szCs w:val="32"/>
          <w:highlight w:val="none"/>
          <w:lang w:val="en-US" w:eastAsia="zh-CN"/>
        </w:rPr>
        <w:t>加大公开力度，拓展公开深度</w:t>
      </w:r>
      <w:r>
        <w:rPr>
          <w:rFonts w:hint="eastAsia" w:ascii="仿宋_GB2312" w:hAnsi="Times New Roman" w:eastAsia="仿宋_GB2312" w:cs="Times New Roman"/>
          <w:sz w:val="32"/>
          <w:szCs w:val="32"/>
          <w:highlight w:val="none"/>
          <w:lang w:val="zh-CN" w:eastAsia="zh-CN"/>
        </w:rPr>
        <w:t>。二是</w:t>
      </w:r>
      <w:r>
        <w:rPr>
          <w:rFonts w:hint="eastAsia" w:ascii="仿宋_GB2312" w:hAnsi="Times New Roman" w:eastAsia="仿宋_GB2312" w:cs="Times New Roman"/>
          <w:sz w:val="32"/>
          <w:szCs w:val="32"/>
          <w:highlight w:val="none"/>
          <w:lang w:val="en-US" w:eastAsia="zh-CN"/>
        </w:rPr>
        <w:t>根据政务公开标准化规范化总体要求，结合街道实际，丰富公开内容</w:t>
      </w:r>
      <w:r>
        <w:rPr>
          <w:rFonts w:hint="eastAsia" w:ascii="仿宋_GB2312" w:hAnsi="Times New Roman" w:eastAsia="仿宋_GB2312" w:cs="Times New Roman"/>
          <w:sz w:val="32"/>
          <w:szCs w:val="32"/>
          <w:highlight w:val="none"/>
          <w:lang w:val="zh-CN" w:eastAsia="zh-CN"/>
        </w:rPr>
        <w:t>，更新及时，栏目齐全，</w:t>
      </w:r>
      <w:r>
        <w:rPr>
          <w:rFonts w:hint="eastAsia" w:ascii="仿宋_GB2312" w:hAnsi="Times New Roman" w:eastAsia="仿宋_GB2312" w:cs="Times New Roman"/>
          <w:sz w:val="32"/>
          <w:szCs w:val="32"/>
          <w:highlight w:val="none"/>
          <w:lang w:val="en-US" w:eastAsia="zh-CN"/>
        </w:rPr>
        <w:t>切实提升信息公开的质量</w:t>
      </w:r>
      <w:r>
        <w:rPr>
          <w:rFonts w:hint="eastAsia" w:ascii="仿宋_GB2312" w:hAnsi="Times New Roman" w:eastAsia="仿宋_GB2312" w:cs="Times New Roman"/>
          <w:sz w:val="32"/>
          <w:szCs w:val="32"/>
          <w:highlight w:val="none"/>
          <w:lang w:val="zh-CN" w:eastAsia="zh-CN"/>
        </w:rPr>
        <w:t>。三是进一步加强</w:t>
      </w:r>
      <w:r>
        <w:rPr>
          <w:rFonts w:hint="eastAsia" w:ascii="仿宋_GB2312" w:hAnsi="Times New Roman" w:eastAsia="仿宋_GB2312" w:cs="Times New Roman"/>
          <w:sz w:val="32"/>
          <w:szCs w:val="32"/>
          <w:highlight w:val="none"/>
          <w:lang w:val="en-US" w:eastAsia="zh-CN"/>
        </w:rPr>
        <w:t>了</w:t>
      </w:r>
      <w:r>
        <w:rPr>
          <w:rFonts w:hint="eastAsia" w:ascii="仿宋_GB2312" w:hAnsi="Times New Roman" w:eastAsia="仿宋_GB2312" w:cs="Times New Roman"/>
          <w:sz w:val="32"/>
          <w:szCs w:val="32"/>
          <w:highlight w:val="none"/>
          <w:lang w:val="zh-CN" w:eastAsia="zh-CN"/>
        </w:rPr>
        <w:t>对</w:t>
      </w:r>
      <w:r>
        <w:rPr>
          <w:rFonts w:hint="eastAsia" w:ascii="仿宋_GB2312" w:hAnsi="Times New Roman" w:eastAsia="仿宋_GB2312" w:cs="Times New Roman"/>
          <w:sz w:val="32"/>
          <w:szCs w:val="32"/>
          <w:highlight w:val="none"/>
          <w:lang w:val="en-US" w:eastAsia="zh-CN"/>
        </w:rPr>
        <w:t>政务公开</w:t>
      </w:r>
      <w:r>
        <w:rPr>
          <w:rFonts w:hint="eastAsia" w:ascii="仿宋_GB2312" w:hAnsi="Times New Roman" w:eastAsia="仿宋_GB2312" w:cs="Times New Roman"/>
          <w:sz w:val="32"/>
          <w:szCs w:val="32"/>
          <w:highlight w:val="none"/>
          <w:lang w:val="zh-CN" w:eastAsia="zh-CN"/>
        </w:rPr>
        <w:t>工作人员的业务培训，</w:t>
      </w:r>
      <w:r>
        <w:rPr>
          <w:rFonts w:hint="eastAsia" w:ascii="仿宋_GB2312" w:hAnsi="Times New Roman" w:eastAsia="仿宋_GB2312" w:cs="Times New Roman"/>
          <w:sz w:val="32"/>
          <w:szCs w:val="32"/>
          <w:highlight w:val="none"/>
          <w:lang w:val="en-US" w:eastAsia="zh-CN"/>
        </w:rPr>
        <w:t>增强工作人员公开意识，补齐业务人员工作短板，努力提高政府信息公开综合水平。</w:t>
      </w:r>
    </w:p>
    <w:p>
      <w:pPr>
        <w:spacing w:line="560" w:lineRule="exact"/>
        <w:ind w:firstLine="640" w:firstLineChars="200"/>
        <w:rPr>
          <w:rFonts w:hint="eastAsia" w:ascii="仿宋_GB2312" w:hAnsi="Times New Roman" w:eastAsia="仿宋_GB2312" w:cs="Times New Roman"/>
          <w:sz w:val="32"/>
          <w:szCs w:val="32"/>
          <w:lang w:val="zh-CN" w:eastAsia="zh-CN"/>
        </w:rPr>
      </w:pPr>
      <w:r>
        <w:rPr>
          <w:rFonts w:hint="eastAsia" w:ascii="黑体" w:hAnsi="黑体" w:eastAsia="黑体" w:cs="楷体_GB2312"/>
          <w:bCs/>
          <w:sz w:val="32"/>
          <w:szCs w:val="32"/>
        </w:rPr>
        <w:t>六、其他需要报告的事项</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zh-CN" w:eastAsia="zh-CN"/>
        </w:rPr>
        <w:t>居务公开标准化规范化建设</w:t>
      </w:r>
      <w:r>
        <w:rPr>
          <w:rFonts w:hint="eastAsia" w:ascii="仿宋_GB2312" w:hAnsi="Times New Roman" w:eastAsia="仿宋_GB2312" w:cs="Times New Roman"/>
          <w:sz w:val="32"/>
          <w:szCs w:val="32"/>
          <w:lang w:val="en-US" w:eastAsia="zh-CN"/>
        </w:rPr>
        <w:t>是</w:t>
      </w:r>
      <w:r>
        <w:rPr>
          <w:rFonts w:hint="eastAsia" w:ascii="仿宋_GB2312" w:hAnsi="Times New Roman" w:eastAsia="仿宋_GB2312" w:cs="Times New Roman"/>
          <w:sz w:val="32"/>
          <w:szCs w:val="32"/>
          <w:lang w:val="zh-CN" w:eastAsia="zh-CN"/>
        </w:rPr>
        <w:t>推动政务公开标准化规范化向社区延伸，</w:t>
      </w:r>
      <w:r>
        <w:rPr>
          <w:rFonts w:hint="eastAsia" w:ascii="仿宋_GB2312" w:hAnsi="Times New Roman" w:eastAsia="仿宋_GB2312" w:cs="Times New Roman"/>
          <w:sz w:val="32"/>
          <w:szCs w:val="32"/>
          <w:lang w:val="en-US" w:eastAsia="zh-CN"/>
        </w:rPr>
        <w:t>2022年街道根据《普陀区推进居(村)务公开标准化规范化建设的实施意见》，结合社区实际情况，制定本街道的居务公开标准化规范化建设的实施方案，通过居委会书记班子会议、老书记走访带教、设立示范居委会等方式，积极试点推进基础目录，制定相应公开表单，总结试点经验，不断提升基层自治组织的自治力和公信力，切实保障居民对社区工作的知情权、参与权、监督权。</w:t>
      </w:r>
    </w:p>
    <w:p>
      <w:pPr>
        <w:spacing w:line="560" w:lineRule="exact"/>
        <w:ind w:firstLine="640" w:firstLineChars="200"/>
        <w:rPr>
          <w:rFonts w:hint="eastAsia" w:ascii="仿宋_GB2312" w:hAnsi="Times New Roman" w:eastAsia="仿宋_GB2312" w:cs="Times New Roman"/>
          <w:sz w:val="32"/>
          <w:szCs w:val="32"/>
          <w:lang w:val="zh-CN" w:eastAsia="zh-CN"/>
        </w:rPr>
      </w:pP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照《国务院办公厅关于印发〈政府信息公开信息处理费管理办法〉的通知》（国办函〔2020〕109号）以及《上海市财政局、上海市发展和改革委员会关于政府信息公开信息处理费有关事项的通知》（沪财税〔2021〕7号）规定的按件、按量收费标准，本年度收取信息处理费的情况如下：发出收费通知的件数为0、总金额为0、实际收取的总金额为0。</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dobe 宋体 Std L">
    <w:altName w:val="宋体"/>
    <w:panose1 w:val="00000000000000000000"/>
    <w:charset w:val="00"/>
    <w:family w:val="roman"/>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等线简">
    <w:altName w:val="仿宋"/>
    <w:panose1 w:val="00000000000000000000"/>
    <w:charset w:val="86"/>
    <w:family w:val="modern"/>
    <w:pitch w:val="default"/>
    <w:sig w:usb0="00000000" w:usb1="000000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BA8FC"/>
    <w:multiLevelType w:val="singleLevel"/>
    <w:tmpl w:val="63BBA8FC"/>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DNjMDQzMzQxMGNmZDJlNGViMTQyMzQ0YTljNmYifQ=="/>
  </w:docVars>
  <w:rsids>
    <w:rsidRoot w:val="09B24970"/>
    <w:rsid w:val="000F312C"/>
    <w:rsid w:val="004A49E7"/>
    <w:rsid w:val="005C0B43"/>
    <w:rsid w:val="01C63E3A"/>
    <w:rsid w:val="02010C2B"/>
    <w:rsid w:val="025A5A10"/>
    <w:rsid w:val="040E6340"/>
    <w:rsid w:val="046375AE"/>
    <w:rsid w:val="053022E6"/>
    <w:rsid w:val="07A80859"/>
    <w:rsid w:val="07E0189A"/>
    <w:rsid w:val="07E639C6"/>
    <w:rsid w:val="080275F3"/>
    <w:rsid w:val="08397703"/>
    <w:rsid w:val="09B24970"/>
    <w:rsid w:val="0A907E13"/>
    <w:rsid w:val="0AC81622"/>
    <w:rsid w:val="0BD25EA5"/>
    <w:rsid w:val="0BF7590B"/>
    <w:rsid w:val="0C3D1618"/>
    <w:rsid w:val="0C612004"/>
    <w:rsid w:val="0C8573BB"/>
    <w:rsid w:val="0CF21BD3"/>
    <w:rsid w:val="0D5712DE"/>
    <w:rsid w:val="0D603CA4"/>
    <w:rsid w:val="0D73267E"/>
    <w:rsid w:val="0EB2192B"/>
    <w:rsid w:val="0EF44384"/>
    <w:rsid w:val="1103001D"/>
    <w:rsid w:val="1142587A"/>
    <w:rsid w:val="11B70496"/>
    <w:rsid w:val="12FE4495"/>
    <w:rsid w:val="130A17CE"/>
    <w:rsid w:val="148455B1"/>
    <w:rsid w:val="167401CF"/>
    <w:rsid w:val="16794ED0"/>
    <w:rsid w:val="17322A53"/>
    <w:rsid w:val="176840EB"/>
    <w:rsid w:val="17C20FF4"/>
    <w:rsid w:val="187B7ECE"/>
    <w:rsid w:val="187D09E7"/>
    <w:rsid w:val="19185113"/>
    <w:rsid w:val="19516E9C"/>
    <w:rsid w:val="195D6FA1"/>
    <w:rsid w:val="19B7492C"/>
    <w:rsid w:val="1A534670"/>
    <w:rsid w:val="1C1371CF"/>
    <w:rsid w:val="1C5446B4"/>
    <w:rsid w:val="1D0B74C8"/>
    <w:rsid w:val="1D4538A6"/>
    <w:rsid w:val="1E454EB3"/>
    <w:rsid w:val="1E652BA8"/>
    <w:rsid w:val="1F1F2732"/>
    <w:rsid w:val="1F743A9A"/>
    <w:rsid w:val="1F93323A"/>
    <w:rsid w:val="20333AE0"/>
    <w:rsid w:val="206A74FD"/>
    <w:rsid w:val="20F85638"/>
    <w:rsid w:val="211E35BF"/>
    <w:rsid w:val="2125555D"/>
    <w:rsid w:val="21D863FD"/>
    <w:rsid w:val="22E22A19"/>
    <w:rsid w:val="23963804"/>
    <w:rsid w:val="23FD1F9E"/>
    <w:rsid w:val="24507E57"/>
    <w:rsid w:val="24774D0B"/>
    <w:rsid w:val="25B6029D"/>
    <w:rsid w:val="26E62F21"/>
    <w:rsid w:val="27061618"/>
    <w:rsid w:val="271F4503"/>
    <w:rsid w:val="272B0E42"/>
    <w:rsid w:val="27800A53"/>
    <w:rsid w:val="286A5204"/>
    <w:rsid w:val="288E69DB"/>
    <w:rsid w:val="28C95F85"/>
    <w:rsid w:val="2A702735"/>
    <w:rsid w:val="2AD0401D"/>
    <w:rsid w:val="2B72137F"/>
    <w:rsid w:val="2BCE7FDF"/>
    <w:rsid w:val="2C751A14"/>
    <w:rsid w:val="2C9805ED"/>
    <w:rsid w:val="2D493368"/>
    <w:rsid w:val="2DB62AA5"/>
    <w:rsid w:val="2DD439FC"/>
    <w:rsid w:val="2DE51610"/>
    <w:rsid w:val="2E4751E7"/>
    <w:rsid w:val="2FFC3674"/>
    <w:rsid w:val="30290E83"/>
    <w:rsid w:val="303040EA"/>
    <w:rsid w:val="305E042B"/>
    <w:rsid w:val="306911A4"/>
    <w:rsid w:val="30E87886"/>
    <w:rsid w:val="316867E0"/>
    <w:rsid w:val="31760E45"/>
    <w:rsid w:val="32063EA2"/>
    <w:rsid w:val="327E7FBF"/>
    <w:rsid w:val="328D4D98"/>
    <w:rsid w:val="331261AD"/>
    <w:rsid w:val="335F6CB2"/>
    <w:rsid w:val="33653D3B"/>
    <w:rsid w:val="336C6705"/>
    <w:rsid w:val="33EF4F96"/>
    <w:rsid w:val="34786C0C"/>
    <w:rsid w:val="34E00D83"/>
    <w:rsid w:val="34E71948"/>
    <w:rsid w:val="351E39CE"/>
    <w:rsid w:val="36154A5C"/>
    <w:rsid w:val="37212C94"/>
    <w:rsid w:val="37426FCE"/>
    <w:rsid w:val="37AB36BA"/>
    <w:rsid w:val="37BF21E6"/>
    <w:rsid w:val="380B583B"/>
    <w:rsid w:val="38D26E62"/>
    <w:rsid w:val="392A20EE"/>
    <w:rsid w:val="39BC591B"/>
    <w:rsid w:val="39EE1C13"/>
    <w:rsid w:val="3A0B44F3"/>
    <w:rsid w:val="3A6823C4"/>
    <w:rsid w:val="3AEF5A14"/>
    <w:rsid w:val="3AF43702"/>
    <w:rsid w:val="3B1B48C3"/>
    <w:rsid w:val="3B58122C"/>
    <w:rsid w:val="3B5D52E1"/>
    <w:rsid w:val="3C6001DD"/>
    <w:rsid w:val="3C854BBA"/>
    <w:rsid w:val="3D780D67"/>
    <w:rsid w:val="3DFC41F2"/>
    <w:rsid w:val="3E477585"/>
    <w:rsid w:val="3E8420F7"/>
    <w:rsid w:val="3F2B031D"/>
    <w:rsid w:val="3F6F4DF3"/>
    <w:rsid w:val="3F7D4C54"/>
    <w:rsid w:val="3FAB1D7E"/>
    <w:rsid w:val="3FE060DB"/>
    <w:rsid w:val="3FF44103"/>
    <w:rsid w:val="400837C0"/>
    <w:rsid w:val="407576ED"/>
    <w:rsid w:val="40BC4452"/>
    <w:rsid w:val="40F37792"/>
    <w:rsid w:val="4155263C"/>
    <w:rsid w:val="426C1EA8"/>
    <w:rsid w:val="42C04AE3"/>
    <w:rsid w:val="42D169FF"/>
    <w:rsid w:val="434C2926"/>
    <w:rsid w:val="435064D1"/>
    <w:rsid w:val="44171B72"/>
    <w:rsid w:val="44516E0D"/>
    <w:rsid w:val="449D6A31"/>
    <w:rsid w:val="44B30194"/>
    <w:rsid w:val="45EF6A4A"/>
    <w:rsid w:val="47ED59AE"/>
    <w:rsid w:val="48972F29"/>
    <w:rsid w:val="489F4A07"/>
    <w:rsid w:val="48AC3E71"/>
    <w:rsid w:val="48E65365"/>
    <w:rsid w:val="492928A1"/>
    <w:rsid w:val="49AE4ABF"/>
    <w:rsid w:val="49C42493"/>
    <w:rsid w:val="49C624BB"/>
    <w:rsid w:val="4A6C55D5"/>
    <w:rsid w:val="4A7B1F17"/>
    <w:rsid w:val="4A957D0D"/>
    <w:rsid w:val="4AA372E5"/>
    <w:rsid w:val="4B4D3574"/>
    <w:rsid w:val="4BD514DF"/>
    <w:rsid w:val="4C7B7959"/>
    <w:rsid w:val="4C881469"/>
    <w:rsid w:val="4C8A616F"/>
    <w:rsid w:val="4CC42EF9"/>
    <w:rsid w:val="4D1A29D4"/>
    <w:rsid w:val="4E424374"/>
    <w:rsid w:val="4E4B2ECB"/>
    <w:rsid w:val="4EC70D92"/>
    <w:rsid w:val="4EE13AAB"/>
    <w:rsid w:val="4F3F6DFB"/>
    <w:rsid w:val="4F4D299C"/>
    <w:rsid w:val="4F933C6F"/>
    <w:rsid w:val="4FEE5D10"/>
    <w:rsid w:val="4FF82FCD"/>
    <w:rsid w:val="503B42EA"/>
    <w:rsid w:val="51FC4FF6"/>
    <w:rsid w:val="52445ED7"/>
    <w:rsid w:val="53F51B6F"/>
    <w:rsid w:val="54005A17"/>
    <w:rsid w:val="541A4C84"/>
    <w:rsid w:val="54233C35"/>
    <w:rsid w:val="54480CF3"/>
    <w:rsid w:val="549B1176"/>
    <w:rsid w:val="54F35DF0"/>
    <w:rsid w:val="55336B23"/>
    <w:rsid w:val="553A326A"/>
    <w:rsid w:val="5680750F"/>
    <w:rsid w:val="57870F39"/>
    <w:rsid w:val="57A9177C"/>
    <w:rsid w:val="586562D2"/>
    <w:rsid w:val="58687377"/>
    <w:rsid w:val="58A31FA6"/>
    <w:rsid w:val="591071E2"/>
    <w:rsid w:val="5945155A"/>
    <w:rsid w:val="5A4F0653"/>
    <w:rsid w:val="5B10144D"/>
    <w:rsid w:val="5B5A0723"/>
    <w:rsid w:val="5B68308C"/>
    <w:rsid w:val="5BFD3D7E"/>
    <w:rsid w:val="5C494ECA"/>
    <w:rsid w:val="5C9C231E"/>
    <w:rsid w:val="5D397EE4"/>
    <w:rsid w:val="5DC51EEB"/>
    <w:rsid w:val="5E1A0BC9"/>
    <w:rsid w:val="5E7D4831"/>
    <w:rsid w:val="5F15674F"/>
    <w:rsid w:val="5F223BC2"/>
    <w:rsid w:val="606B381E"/>
    <w:rsid w:val="609F6068"/>
    <w:rsid w:val="613004B0"/>
    <w:rsid w:val="615211B7"/>
    <w:rsid w:val="61694B69"/>
    <w:rsid w:val="621B3277"/>
    <w:rsid w:val="62631A11"/>
    <w:rsid w:val="62834047"/>
    <w:rsid w:val="62EA49F7"/>
    <w:rsid w:val="630F2CF0"/>
    <w:rsid w:val="63BD528E"/>
    <w:rsid w:val="64922031"/>
    <w:rsid w:val="65316F76"/>
    <w:rsid w:val="655B1BDC"/>
    <w:rsid w:val="66AD0EFD"/>
    <w:rsid w:val="67380427"/>
    <w:rsid w:val="68576A51"/>
    <w:rsid w:val="688E1C96"/>
    <w:rsid w:val="68E428BC"/>
    <w:rsid w:val="6A1F3773"/>
    <w:rsid w:val="6C342B11"/>
    <w:rsid w:val="6CCB2E78"/>
    <w:rsid w:val="6D105935"/>
    <w:rsid w:val="6D5763FC"/>
    <w:rsid w:val="6D8B5A64"/>
    <w:rsid w:val="6E2559FC"/>
    <w:rsid w:val="6E276AFF"/>
    <w:rsid w:val="6E6D0D66"/>
    <w:rsid w:val="6E704CDC"/>
    <w:rsid w:val="6EBA176C"/>
    <w:rsid w:val="6F546647"/>
    <w:rsid w:val="6F5B0526"/>
    <w:rsid w:val="6F5B48C8"/>
    <w:rsid w:val="702236A4"/>
    <w:rsid w:val="708D46C9"/>
    <w:rsid w:val="7274562D"/>
    <w:rsid w:val="74DA6559"/>
    <w:rsid w:val="74FE4E87"/>
    <w:rsid w:val="75803025"/>
    <w:rsid w:val="75A10E11"/>
    <w:rsid w:val="75F9616B"/>
    <w:rsid w:val="778B5789"/>
    <w:rsid w:val="779928B1"/>
    <w:rsid w:val="779F42BF"/>
    <w:rsid w:val="77DE5B4B"/>
    <w:rsid w:val="78896AB2"/>
    <w:rsid w:val="78C73FA1"/>
    <w:rsid w:val="7A160474"/>
    <w:rsid w:val="7A71145A"/>
    <w:rsid w:val="7AAD65DE"/>
    <w:rsid w:val="7C135C1F"/>
    <w:rsid w:val="7C674D88"/>
    <w:rsid w:val="7CF44231"/>
    <w:rsid w:val="7DB95E5B"/>
    <w:rsid w:val="7DD90C3C"/>
    <w:rsid w:val="7E1D6366"/>
    <w:rsid w:val="7ED062C2"/>
    <w:rsid w:val="7FF8005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Hyperlink"/>
    <w:basedOn w:val="3"/>
    <w:qFormat/>
    <w:uiPriority w:val="0"/>
    <w:rPr>
      <w:color w:val="000000"/>
      <w:u w:val="none"/>
    </w:rPr>
  </w:style>
  <w:style w:type="character" w:customStyle="1" w:styleId="7">
    <w:name w:val="first-child3"/>
    <w:basedOn w:val="3"/>
    <w:uiPriority w:val="0"/>
  </w:style>
  <w:style w:type="character" w:customStyle="1" w:styleId="8">
    <w:name w:val="layui-layer-tabnow"/>
    <w:basedOn w:val="3"/>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2382</Words>
  <Characters>2450</Characters>
  <Lines>0</Lines>
  <Paragraphs>0</Paragraphs>
  <ScaleCrop>false</ScaleCrop>
  <LinksUpToDate>false</LinksUpToDate>
  <CharactersWithSpaces>2456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2021-12-28T01:28:00Z</dcterms:created>
  <dc:creator>普陀区人民政府专用版</dc:creator>
  <cp:lastModifiedBy>普陀区人民政府专用版</cp:lastModifiedBy>
  <cp:lastPrinted>2023-01-10T06:37:00Z</cp:lastPrinted>
  <dcterms:modified xsi:type="dcterms:W3CDTF">2023-01-28T02:10:37Z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FCC91013F08C4E24870579CDDDE0584F</vt:lpwstr>
  </property>
</Properties>
</file>