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普陀区关于推进居（村）委会开展“四百”走访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常态化的实施意见</w:t>
      </w:r>
    </w:p>
    <w:bookmarkEnd w:id="0"/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根据市委区委“创新社会治理加强基层建设”的工作要求，全方位加强和改进居民区工作，现就继续开展</w:t>
      </w:r>
      <w:r>
        <w:rPr>
          <w:rFonts w:hint="eastAsia" w:ascii="仿宋" w:hAnsi="仿宋" w:eastAsia="仿宋"/>
          <w:sz w:val="32"/>
          <w:szCs w:val="32"/>
        </w:rPr>
        <w:t>“走百家门、知百家情、解百家忧、暖百家心”</w:t>
      </w:r>
      <w:r>
        <w:rPr>
          <w:rFonts w:hint="eastAsia" w:ascii="仿宋" w:hAnsi="仿宋" w:eastAsia="仿宋" w:cs="仿宋"/>
          <w:sz w:val="32"/>
          <w:szCs w:val="32"/>
        </w:rPr>
        <w:t>走访常态化</w:t>
      </w:r>
      <w:r>
        <w:rPr>
          <w:rFonts w:hint="eastAsia" w:ascii="仿宋" w:hAnsi="仿宋" w:eastAsia="仿宋"/>
          <w:sz w:val="32"/>
          <w:szCs w:val="32"/>
        </w:rPr>
        <w:t>（简称</w:t>
      </w:r>
      <w:r>
        <w:rPr>
          <w:rFonts w:hint="eastAsia" w:ascii="仿宋" w:hAnsi="仿宋" w:eastAsia="仿宋" w:cs="仿宋"/>
          <w:sz w:val="32"/>
          <w:szCs w:val="32"/>
        </w:rPr>
        <w:t>“四百”走访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，提出如下实施意见：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以习近平新时代中国特色社会主义思想为指导,全面贯彻党的十九大及十九届二中、三中、四中全会精神和习近平总书记考察上海重要讲话精神，坚持以人民为中心的发展理念，</w:t>
      </w:r>
      <w:r>
        <w:rPr>
          <w:rFonts w:hint="eastAsia" w:ascii="仿宋" w:hAnsi="仿宋" w:eastAsia="仿宋"/>
          <w:sz w:val="32"/>
          <w:szCs w:val="32"/>
        </w:rPr>
        <w:t>立足群众需求，从解决人民群众“急难愁盼”的社区治理突出问题出发，固根本、扬优势、补短板、强弱项，切实解决人民群众的操心事、烦心事和揪心事，把为民惠民靠民贯穿于社区治理的全过程和各方面，打造共建共治共享的幸福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充分发挥基层党组织在社区治理中的核心作用，持续为基层减负放权赋能，做强社区工作者队伍。</w:t>
      </w:r>
      <w:r>
        <w:rPr>
          <w:rFonts w:hint="eastAsia" w:ascii="楷体" w:hAnsi="楷体" w:eastAsia="楷体" w:cs="仿宋"/>
          <w:b/>
          <w:sz w:val="32"/>
          <w:szCs w:val="32"/>
        </w:rPr>
        <w:t>把“走百家门”作为基本路径，</w:t>
      </w:r>
      <w:r>
        <w:rPr>
          <w:rFonts w:hint="eastAsia" w:ascii="仿宋" w:hAnsi="仿宋" w:eastAsia="仿宋" w:cs="仿宋"/>
          <w:sz w:val="32"/>
          <w:szCs w:val="32"/>
        </w:rPr>
        <w:t>要“迈开腿、张开嘴、敲开门、打开心”，真正走进居民群众的家里和心里，主动问政于民、问需于民、问计于民；</w:t>
      </w:r>
      <w:r>
        <w:rPr>
          <w:rFonts w:hint="eastAsia" w:ascii="楷体" w:hAnsi="楷体" w:eastAsia="楷体" w:cs="仿宋"/>
          <w:b/>
          <w:sz w:val="32"/>
          <w:szCs w:val="32"/>
        </w:rPr>
        <w:t>把“知百家情”作为主要内容，</w:t>
      </w:r>
      <w:r>
        <w:rPr>
          <w:rFonts w:hint="eastAsia" w:ascii="仿宋" w:hAnsi="仿宋" w:eastAsia="仿宋" w:cs="仿宋"/>
          <w:sz w:val="32"/>
          <w:szCs w:val="32"/>
        </w:rPr>
        <w:t>在走访过程中，排摸梳理社区基本情况和居民家庭信息，做到“底数清、情况明”；</w:t>
      </w:r>
      <w:r>
        <w:rPr>
          <w:rFonts w:hint="eastAsia" w:ascii="楷体" w:hAnsi="楷体" w:eastAsia="楷体" w:cs="仿宋"/>
          <w:b/>
          <w:sz w:val="32"/>
          <w:szCs w:val="32"/>
        </w:rPr>
        <w:t>把“解百家忧”作为工作重点，</w:t>
      </w:r>
      <w:r>
        <w:rPr>
          <w:rFonts w:hint="eastAsia" w:ascii="仿宋" w:hAnsi="仿宋" w:eastAsia="仿宋" w:cs="仿宋"/>
          <w:sz w:val="32"/>
          <w:szCs w:val="32"/>
        </w:rPr>
        <w:t>聚焦社情民意，建立居民区的问题响应反馈机制，深入开展“六个一批”工作，满足居民群众多层次、多样化的需求；</w:t>
      </w:r>
      <w:r>
        <w:rPr>
          <w:rFonts w:hint="eastAsia" w:ascii="楷体" w:hAnsi="楷体" w:eastAsia="楷体" w:cs="仿宋"/>
          <w:b/>
          <w:sz w:val="32"/>
          <w:szCs w:val="32"/>
        </w:rPr>
        <w:t>把“暖百家心”作为根本目的，</w:t>
      </w:r>
      <w:r>
        <w:rPr>
          <w:rFonts w:hint="eastAsia" w:ascii="仿宋" w:hAnsi="仿宋" w:eastAsia="仿宋"/>
          <w:sz w:val="32"/>
          <w:szCs w:val="32"/>
        </w:rPr>
        <w:t>做居民群众的“贴心人”，</w:t>
      </w:r>
      <w:r>
        <w:rPr>
          <w:rFonts w:hint="eastAsia" w:ascii="仿宋" w:hAnsi="仿宋" w:eastAsia="仿宋" w:cs="仿宋"/>
          <w:sz w:val="32"/>
          <w:szCs w:val="32"/>
        </w:rPr>
        <w:t>多办事、办实事、办好事，</w:t>
      </w:r>
      <w:r>
        <w:rPr>
          <w:rFonts w:hint="eastAsia" w:ascii="仿宋" w:hAnsi="仿宋" w:eastAsia="仿宋"/>
          <w:sz w:val="32"/>
          <w:szCs w:val="32"/>
        </w:rPr>
        <w:t>切实提升居民群众获得感、幸福感和满意度。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三、具体措施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（一）深化走访工作模式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一是全覆盖无遗漏。</w:t>
      </w:r>
      <w:r>
        <w:rPr>
          <w:rFonts w:hint="eastAsia" w:ascii="仿宋" w:hAnsi="仿宋" w:eastAsia="仿宋" w:cs="仿宋"/>
          <w:sz w:val="32"/>
          <w:szCs w:val="32"/>
        </w:rPr>
        <w:t>各居（村）委会根据管辖小区的范围，对社区工作者的包干范围进行合理划分，把责任落实到块。</w:t>
      </w:r>
      <w:r>
        <w:rPr>
          <w:rFonts w:ascii="仿宋" w:hAnsi="仿宋" w:eastAsia="仿宋" w:cs="仿宋"/>
          <w:sz w:val="32"/>
          <w:szCs w:val="32"/>
        </w:rPr>
        <w:t>对所联系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>居民</w:t>
      </w:r>
      <w:r>
        <w:rPr>
          <w:rFonts w:hint="eastAsia" w:ascii="仿宋" w:hAnsi="仿宋" w:eastAsia="仿宋" w:cs="仿宋"/>
          <w:sz w:val="32"/>
          <w:szCs w:val="32"/>
        </w:rPr>
        <w:t>家庭</w:t>
      </w:r>
      <w:r>
        <w:rPr>
          <w:rFonts w:ascii="仿宋" w:hAnsi="仿宋" w:eastAsia="仿宋" w:cs="仿宋"/>
          <w:sz w:val="32"/>
          <w:szCs w:val="32"/>
        </w:rPr>
        <w:t>情况做到“</w:t>
      </w:r>
      <w:r>
        <w:rPr>
          <w:rFonts w:hint="eastAsia" w:ascii="仿宋" w:hAnsi="仿宋" w:eastAsia="仿宋" w:cs="仿宋"/>
          <w:sz w:val="32"/>
          <w:szCs w:val="32"/>
        </w:rPr>
        <w:t>户户明</w:t>
      </w:r>
      <w:r>
        <w:rPr>
          <w:rFonts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对社区重点对象做到“一口清”</w:t>
      </w:r>
      <w:r>
        <w:rPr>
          <w:rFonts w:hint="eastAsia" w:ascii="仿宋" w:hAnsi="仿宋" w:eastAsia="仿宋" w:cs="仿宋"/>
          <w:sz w:val="32"/>
          <w:szCs w:val="32"/>
        </w:rPr>
        <w:t>，定期汇总走访情况，织密居民区的管理网络，让社区工作者</w:t>
      </w:r>
      <w:r>
        <w:rPr>
          <w:rFonts w:ascii="仿宋" w:hAnsi="仿宋" w:eastAsia="仿宋" w:cs="仿宋"/>
          <w:sz w:val="32"/>
          <w:szCs w:val="32"/>
        </w:rPr>
        <w:t>成为</w:t>
      </w:r>
      <w:r>
        <w:rPr>
          <w:rFonts w:hint="eastAsia" w:ascii="仿宋" w:hAnsi="仿宋" w:eastAsia="仿宋" w:cs="仿宋"/>
          <w:sz w:val="32"/>
          <w:szCs w:val="32"/>
        </w:rPr>
        <w:t>服务</w:t>
      </w:r>
      <w:r>
        <w:rPr>
          <w:rFonts w:ascii="仿宋" w:hAnsi="仿宋" w:eastAsia="仿宋" w:cs="仿宋"/>
          <w:sz w:val="32"/>
          <w:szCs w:val="32"/>
        </w:rPr>
        <w:t>民生</w:t>
      </w:r>
      <w:r>
        <w:rPr>
          <w:rFonts w:hint="eastAsia" w:ascii="仿宋" w:hAnsi="仿宋" w:eastAsia="仿宋" w:cs="仿宋"/>
          <w:sz w:val="32"/>
          <w:szCs w:val="32"/>
        </w:rPr>
        <w:t>的“</w:t>
      </w:r>
      <w:r>
        <w:rPr>
          <w:rFonts w:ascii="仿宋" w:hAnsi="仿宋" w:eastAsia="仿宋" w:cs="仿宋"/>
          <w:sz w:val="32"/>
          <w:szCs w:val="32"/>
        </w:rPr>
        <w:t>活地图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二是完善错时工作。</w:t>
      </w:r>
      <w:r>
        <w:rPr>
          <w:rFonts w:hint="eastAsia" w:ascii="仿宋" w:hAnsi="仿宋" w:eastAsia="仿宋" w:cs="仿宋"/>
          <w:sz w:val="32"/>
          <w:szCs w:val="32"/>
        </w:rPr>
        <w:t>社区工作者工作时间要与居民作息时间有机衔接，最大限度方便居民办事，满足居民需求；落实首问负责、一口受理制度，组织社区工作者错时开展常态化走访。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三是线上线下结合。</w:t>
      </w:r>
      <w:r>
        <w:rPr>
          <w:rFonts w:hint="eastAsia" w:ascii="仿宋" w:hAnsi="仿宋" w:eastAsia="仿宋" w:cs="仿宋"/>
          <w:sz w:val="32"/>
          <w:szCs w:val="32"/>
        </w:rPr>
        <w:t>线上充分利用社区治理云平台、微信群、社区微信公众号等手段，广泛收集社情民意；线下通过走访，面对面倾听群众呼声，多途径了解居民信息、实际需求。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楷体" w:hAnsi="楷体" w:eastAsia="楷体" w:cs="楷体"/>
          <w:b/>
          <w:sz w:val="32"/>
          <w:szCs w:val="32"/>
          <w:u w:val="single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（二）建立社区民生档案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一是收集居民信息。</w:t>
      </w:r>
      <w:r>
        <w:rPr>
          <w:rFonts w:hint="eastAsia" w:ascii="仿宋" w:hAnsi="仿宋" w:eastAsia="仿宋" w:cs="仿宋"/>
          <w:sz w:val="32"/>
          <w:szCs w:val="32"/>
        </w:rPr>
        <w:t>要结合实有人口管理，建立和完善居民区的基础台账信息，按照房屋类型将居民家庭居住实际信息分别进行数据整理，建立《普陀区社区居民家庭信息台账》（附件一），并实行标签化管理（附件二）。掌握户籍人口和实际居住人员的信息，建立动态更新机制，让居（村）委会的台账数据在社区治理中发挥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二是关注重点人群。</w:t>
      </w:r>
      <w:r>
        <w:rPr>
          <w:rFonts w:hint="eastAsia" w:ascii="仿宋" w:hAnsi="仿宋" w:eastAsia="仿宋" w:cs="仿宋"/>
          <w:sz w:val="32"/>
          <w:szCs w:val="32"/>
        </w:rPr>
        <w:t>掌握社区各类特殊对象和重点人群的生活保障和诉求情况；掌握业委会、物业以及社区能人达人的意见表达情况；掌握社区不同年龄段、不同职业、不同身份热心参与社区志愿服务人群情况；掌握社区党员信息，特别是在职党员信息情况；掌握群众团队、社会组织活动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三是征集意见建议。</w:t>
      </w:r>
      <w:r>
        <w:rPr>
          <w:rFonts w:hint="eastAsia" w:ascii="仿宋" w:hAnsi="仿宋" w:eastAsia="仿宋" w:cs="仿宋"/>
          <w:sz w:val="32"/>
          <w:szCs w:val="32"/>
        </w:rPr>
        <w:t>用好“听证会、协调会、评议会”三会制度自下而上听取意见建议，健全居民区联席会议机制整合社区资源，聚焦民生需求形成公约化和制度化的自治规范，使社区不同群体的居民通过民主的制度安排达成共识。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（三）落实分类分层化解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是民主协商解决。</w:t>
      </w:r>
      <w:r>
        <w:rPr>
          <w:rFonts w:hint="eastAsia" w:ascii="仿宋" w:hAnsi="仿宋" w:eastAsia="仿宋" w:cs="仿宋"/>
          <w:sz w:val="32"/>
          <w:szCs w:val="32"/>
        </w:rPr>
        <w:t>建立健全党建引领下的“1+3+X”制度，对关乎群众切身利益的实际困难问题和矛盾纠纷，由居民区党组织牵头，居（村）委会、业委会、物业公司和居民代表协商解决，不断提高居民群众议事协商能力。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二是条线专项解决。</w:t>
      </w:r>
      <w:r>
        <w:rPr>
          <w:rFonts w:hint="eastAsia" w:ascii="仿宋" w:hAnsi="仿宋" w:eastAsia="仿宋" w:cs="仿宋"/>
          <w:sz w:val="32"/>
          <w:szCs w:val="32"/>
        </w:rPr>
        <w:t>深化住宅小区综合治理“六个一批”工作,对涉及条线专业性问题，发挥职能部门的专业优势，由职能部门指导解决。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三是多方联动解决。</w:t>
      </w:r>
      <w:r>
        <w:rPr>
          <w:rFonts w:hint="eastAsia" w:ascii="仿宋" w:hAnsi="仿宋" w:eastAsia="仿宋" w:cs="仿宋"/>
          <w:sz w:val="32"/>
          <w:szCs w:val="32"/>
        </w:rPr>
        <w:t>切实发挥机关党建“直通车--集结号”作用，对涉及多部门、情况相对复杂的问题，经梳理汇总后提交至“居村有话说”大调研专项工作平台，协调各方资源联动解决。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（四）探索建立长效机制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一是建立社区工作者队伍能级提升机制。</w:t>
      </w:r>
      <w:r>
        <w:rPr>
          <w:rFonts w:hint="eastAsia" w:ascii="仿宋" w:hAnsi="仿宋" w:eastAsia="仿宋" w:cs="仿宋"/>
          <w:sz w:val="32"/>
          <w:szCs w:val="32"/>
        </w:rPr>
        <w:t>通过“四百”走访，加强社区工作者队伍能力建设，开展分级分层针对性培训，培养一批作风实、能力强、敢担当、有实绩的社区工作者，切实发挥先进典型在社区治理中引领示范作用。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二是加强“有困难、找居村”制度建设。</w:t>
      </w:r>
      <w:r>
        <w:rPr>
          <w:rFonts w:hint="eastAsia" w:ascii="仿宋" w:hAnsi="仿宋" w:eastAsia="仿宋" w:cs="仿宋"/>
          <w:sz w:val="32"/>
          <w:szCs w:val="32"/>
        </w:rPr>
        <w:t>把制度建设与社区治理云平台、“百事能”相结合，让居民群众有事情找得到人。把“有困难、找居村”机制打造成实践社会主义制度优越性的触角和平台，汇集资源，解决居民群众实际问题。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三是打造普陀社区治理特色品牌。</w:t>
      </w:r>
      <w:r>
        <w:rPr>
          <w:rFonts w:hint="eastAsia" w:ascii="仿宋" w:hAnsi="仿宋" w:eastAsia="仿宋" w:cs="仿宋"/>
          <w:sz w:val="32"/>
          <w:szCs w:val="32"/>
        </w:rPr>
        <w:t>坚持和发展新时代“枫桥经验”，以居民楼组为社区治理基本单元，织密织严社区治理网络，探索形成“一街（镇）一品牌”，打造普陀社区治理新亮点。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街道、镇要加强组织领导，结合实际、因地制宜制定“四百”走访常态化工作方案，指导各居（村）委会明确工作目标、细化工作措施、完善工作内容、落实工作要求，全面加强党对社会治理工作的领导，形成党建引领下的区域统筹、多元参与、共商共治的社区治理格局，不断巩固党执政的群众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（二）加强科技支撑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居（村）委会要加强信息安全工作，充分运用好现有的“智联普陀”、“实有人口库”、“百事能APP”等信息化技术手段，加大“前端”数据输入，加强“后端”</w:t>
      </w:r>
      <w:r>
        <w:rPr>
          <w:rFonts w:ascii="仿宋" w:hAnsi="仿宋" w:eastAsia="仿宋" w:cs="仿宋"/>
          <w:sz w:val="32"/>
          <w:szCs w:val="32"/>
        </w:rPr>
        <w:t>数据分析</w:t>
      </w:r>
      <w:r>
        <w:rPr>
          <w:rFonts w:hint="eastAsia" w:ascii="仿宋" w:hAnsi="仿宋" w:eastAsia="仿宋" w:cs="仿宋"/>
          <w:sz w:val="32"/>
          <w:szCs w:val="32"/>
        </w:rPr>
        <w:t>和运用，实现减负增能，便民强基。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（三）加强考核激励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街道、镇结合“四百”走访开展的实际情况，研究制定考核奖惩办法，突出社区工作者的群众观念、工作能力和服务效能，优化考核评价体系，把“四百”走访与社区工作者绩效考核挂钩，奖励先进，鞭策后进，不断推动社区工作者队伍专业化、职业化、规范化发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7" w:right="1191" w:bottom="1417" w:left="170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560" w:lineRule="exact"/>
        <w:jc w:val="left"/>
        <w:rPr>
          <w:rFonts w:ascii="宋体" w:hAnsi="宋体" w:eastAsia="宋体" w:cs="仿宋"/>
          <w:b/>
          <w:sz w:val="32"/>
          <w:szCs w:val="32"/>
        </w:rPr>
      </w:pPr>
      <w:r>
        <w:rPr>
          <w:rFonts w:hint="eastAsia" w:ascii="宋体" w:hAnsi="宋体" w:eastAsia="宋体" w:cs="仿宋"/>
          <w:b/>
          <w:sz w:val="32"/>
          <w:szCs w:val="32"/>
        </w:rPr>
        <w:t>附件一：</w:t>
      </w:r>
    </w:p>
    <w:p>
      <w:pPr>
        <w:spacing w:line="600" w:lineRule="auto"/>
        <w:jc w:val="center"/>
        <w:rPr>
          <w:rFonts w:ascii="黑体" w:hAnsi="黑体" w:eastAsia="黑体" w:cs="仿宋"/>
          <w:sz w:val="44"/>
          <w:szCs w:val="44"/>
        </w:rPr>
      </w:pPr>
      <w:r>
        <w:rPr>
          <w:rFonts w:hint="eastAsia" w:ascii="黑体" w:hAnsi="黑体" w:eastAsia="黑体" w:cs="仿宋"/>
          <w:sz w:val="44"/>
          <w:szCs w:val="44"/>
        </w:rPr>
        <w:t>普陀区社区居民家庭信息台账</w:t>
      </w:r>
    </w:p>
    <w:p>
      <w:pPr>
        <w:jc w:val="center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（参考样张）</w:t>
      </w:r>
    </w:p>
    <w:p>
      <w:pPr>
        <w:spacing w:line="560" w:lineRule="exact"/>
        <w:jc w:val="left"/>
        <w:rPr>
          <w:rFonts w:ascii="楷体" w:hAnsi="楷体" w:eastAsia="楷体" w:cs="仿宋"/>
          <w:b/>
          <w:bCs/>
          <w:sz w:val="30"/>
          <w:szCs w:val="30"/>
          <w:u w:val="single"/>
        </w:rPr>
      </w:pPr>
      <w:r>
        <w:rPr>
          <w:rFonts w:hint="eastAsia" w:ascii="楷体" w:hAnsi="楷体" w:eastAsia="楷体" w:cs="仿宋"/>
          <w:b/>
          <w:bCs/>
          <w:sz w:val="30"/>
          <w:szCs w:val="30"/>
          <w:u w:val="single"/>
        </w:rPr>
        <w:t xml:space="preserve"> </w:t>
      </w:r>
      <w:r>
        <w:rPr>
          <w:rFonts w:ascii="楷体" w:hAnsi="楷体" w:eastAsia="楷体" w:cs="仿宋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 w:cs="仿宋"/>
          <w:b/>
          <w:bCs/>
          <w:sz w:val="30"/>
          <w:szCs w:val="30"/>
          <w:u w:val="single"/>
        </w:rPr>
        <w:t xml:space="preserve">街道（镇） </w:t>
      </w:r>
      <w:r>
        <w:rPr>
          <w:rFonts w:ascii="楷体" w:hAnsi="楷体" w:eastAsia="楷体" w:cs="仿宋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 w:cs="仿宋"/>
          <w:b/>
          <w:bCs/>
          <w:sz w:val="30"/>
          <w:szCs w:val="30"/>
          <w:u w:val="single"/>
        </w:rPr>
        <w:t xml:space="preserve">居（村）委会 </w:t>
      </w:r>
      <w:r>
        <w:rPr>
          <w:rFonts w:ascii="楷体" w:hAnsi="楷体" w:eastAsia="楷体" w:cs="仿宋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 w:cs="仿宋"/>
          <w:b/>
          <w:bCs/>
          <w:sz w:val="30"/>
          <w:szCs w:val="30"/>
          <w:u w:val="single"/>
        </w:rPr>
        <w:t>小区</w:t>
      </w:r>
      <w:r>
        <w:rPr>
          <w:rFonts w:hint="eastAsia" w:ascii="楷体" w:hAnsi="楷体" w:eastAsia="楷体" w:cs="仿宋"/>
          <w:b/>
          <w:bCs/>
          <w:sz w:val="30"/>
          <w:szCs w:val="30"/>
        </w:rPr>
        <w:t xml:space="preserve"> </w:t>
      </w:r>
      <w:r>
        <w:rPr>
          <w:rFonts w:ascii="楷体" w:hAnsi="楷体" w:eastAsia="楷体" w:cs="仿宋"/>
          <w:b/>
          <w:bCs/>
          <w:sz w:val="30"/>
          <w:szCs w:val="30"/>
        </w:rPr>
        <w:t xml:space="preserve">                      </w:t>
      </w:r>
      <w:r>
        <w:rPr>
          <w:rFonts w:hint="eastAsia" w:ascii="楷体" w:hAnsi="楷体" w:eastAsia="楷体" w:cs="仿宋"/>
          <w:b/>
          <w:bCs/>
          <w:sz w:val="30"/>
          <w:szCs w:val="30"/>
          <w:u w:val="single"/>
        </w:rPr>
        <w:t>房屋类型：</w:t>
      </w:r>
      <w:r>
        <w:rPr>
          <w:rFonts w:ascii="楷体" w:hAnsi="楷体" w:eastAsia="楷体" w:cs="仿宋"/>
          <w:b/>
          <w:bCs/>
          <w:sz w:val="30"/>
          <w:szCs w:val="30"/>
          <w:u w:val="single"/>
        </w:rPr>
        <w:t xml:space="preserve">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80"/>
        <w:gridCol w:w="709"/>
        <w:gridCol w:w="2264"/>
        <w:gridCol w:w="2341"/>
        <w:gridCol w:w="1281"/>
        <w:gridCol w:w="1396"/>
        <w:gridCol w:w="1396"/>
        <w:gridCol w:w="1455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门牌地址</w:t>
            </w:r>
          </w:p>
        </w:tc>
        <w:tc>
          <w:tcPr>
            <w:tcW w:w="37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w w:val="90"/>
                <w:sz w:val="24"/>
                <w:szCs w:val="24"/>
              </w:rPr>
              <w:t>保有机动车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人户分离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5" w:type="dxa"/>
            <w:gridSpan w:val="10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楷体" w:hAnsi="楷体" w:eastAsia="楷体" w:cs="仿宋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bCs/>
                <w:sz w:val="32"/>
                <w:szCs w:val="32"/>
              </w:rPr>
              <w:t>业 主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家庭成员及关系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户籍地址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社区身份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居民类型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家庭类型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重点关注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5" w:type="dxa"/>
            <w:gridSpan w:val="10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楷体" w:hAnsi="楷体" w:eastAsia="楷体" w:cs="仿宋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bCs/>
                <w:sz w:val="32"/>
                <w:szCs w:val="32"/>
              </w:rPr>
              <w:t>租 住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家庭成员及关系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户籍地址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社区身份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居民类型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家庭类型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</w:rPr>
              <w:t>重点关注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234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eastAsia="宋体" w:cs="仿宋"/>
          <w:b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720" w:lineRule="auto"/>
        <w:jc w:val="left"/>
        <w:rPr>
          <w:rFonts w:hint="eastAsia" w:ascii="宋体" w:hAnsi="宋体" w:eastAsia="宋体" w:cs="仿宋"/>
          <w:b/>
          <w:sz w:val="32"/>
          <w:szCs w:val="32"/>
        </w:rPr>
      </w:pPr>
      <w:r>
        <w:rPr>
          <w:rFonts w:hint="eastAsia" w:ascii="宋体" w:hAnsi="宋体" w:eastAsia="宋体" w:cs="仿宋"/>
          <w:b/>
          <w:sz w:val="32"/>
          <w:szCs w:val="32"/>
        </w:rPr>
        <w:t>附件二：</w:t>
      </w:r>
    </w:p>
    <w:p>
      <w:pPr>
        <w:spacing w:line="560" w:lineRule="exact"/>
        <w:jc w:val="center"/>
        <w:rPr>
          <w:rFonts w:ascii="黑体" w:hAnsi="黑体" w:eastAsia="黑体" w:cs="仿宋"/>
          <w:sz w:val="44"/>
          <w:szCs w:val="44"/>
        </w:rPr>
      </w:pPr>
      <w:r>
        <w:rPr>
          <w:rFonts w:hint="eastAsia" w:ascii="黑体" w:hAnsi="黑体" w:eastAsia="黑体" w:cs="仿宋"/>
          <w:sz w:val="44"/>
          <w:szCs w:val="44"/>
        </w:rPr>
        <w:t>《普陀区社区居民家庭信息台账》标签</w:t>
      </w:r>
    </w:p>
    <w:p>
      <w:pPr>
        <w:spacing w:line="560" w:lineRule="exact"/>
        <w:jc w:val="center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（参考版）</w:t>
      </w:r>
    </w:p>
    <w:p>
      <w:pPr>
        <w:spacing w:line="560" w:lineRule="exact"/>
        <w:jc w:val="center"/>
        <w:rPr>
          <w:rFonts w:hint="eastAsia" w:ascii="楷体" w:hAnsi="楷体" w:eastAsia="楷体" w:cs="仿宋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  <w:u w:val="single"/>
        </w:rPr>
        <w:t>房屋类型标签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商品房、公租房、动迁房、经适房、廉租房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  <w:u w:val="single"/>
        </w:rPr>
        <w:t>政治面貌标签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中共党员、预备党员、共青团员、民主党派、无党派、群众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  <w:u w:val="single"/>
        </w:rPr>
        <w:t>社区身份标签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居（村）委会成员、业委会成员、楼组长、居民代表、志愿者、群众团队成员、社区能人达人、一般居民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  <w:u w:val="single"/>
        </w:rPr>
        <w:t>居民类型标签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社区党员、在职党员、高龄老人、独居老人、退休人员、大重病人员、残疾人员、退伍转业人员、机关事业单位人员、企业员工、全职爸妈、外籍人员、来沪人员、流动人员、在校学生、学龄前儿童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  <w:u w:val="single"/>
        </w:rPr>
        <w:t>家庭类型标签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普通家庭、优抚家庭、孤老家庭、失独家庭、单亲家庭、困难家庭、租户家庭、外籍家庭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  <w:u w:val="single"/>
        </w:rPr>
        <w:t>重点关注标签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犯罪前科、社区矫正、安置帮教、寻衅滋事、邻里纠纷、家庭不睦、违章搭建、房屋空关、知名人士、吸毒人员、赌博人员、涉黄人员、闲散人员、失业人员、上访人员、精神病人员、群租人员、失踪人员、固定车位家庭、临时车位家庭、多辆机动车家庭</w:t>
      </w:r>
    </w:p>
    <w:p/>
    <w:sectPr>
      <w:pgSz w:w="11906" w:h="16838"/>
      <w:pgMar w:top="1417" w:right="1191" w:bottom="1417" w:left="1701" w:header="851" w:footer="992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8460D"/>
    <w:rsid w:val="08184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uiPriority w:val="0"/>
  </w:style>
  <w:style w:type="paragraph" w:customStyle="1" w:styleId="7">
    <w:name w:val="_Style 1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2021-11-12T06:16:00Z</dcterms:created>
  <dc:creator>Lolita /:moon</dc:creator>
  <cp:lastModifiedBy>Lolita /:moon</cp:lastModifiedBy>
  <dcterms:modified xsi:type="dcterms:W3CDTF">2021-11-12T06:20:15Z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4A5F56528B444622914D9D144ECAF94C</vt:lpwstr>
  </property>
</Properties>
</file>