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D71C6A" w:rsidRPr="00D71C6A" w:rsidTr="00D71C6A">
        <w:trPr>
          <w:tblCellSpacing w:w="0" w:type="dxa"/>
          <w:jc w:val="center"/>
        </w:trPr>
        <w:tc>
          <w:tcPr>
            <w:tcW w:w="0" w:type="auto"/>
            <w:tcBorders>
              <w:top w:val="nil"/>
              <w:left w:val="nil"/>
              <w:bottom w:val="nil"/>
              <w:right w:val="nil"/>
            </w:tcBorders>
            <w:vAlign w:val="center"/>
            <w:hideMark/>
          </w:tcPr>
          <w:tbl>
            <w:tblPr>
              <w:tblW w:w="5000" w:type="pct"/>
              <w:tblCellSpacing w:w="15" w:type="dxa"/>
              <w:tblCellMar>
                <w:top w:w="15" w:type="dxa"/>
                <w:left w:w="15" w:type="dxa"/>
                <w:bottom w:w="15" w:type="dxa"/>
                <w:right w:w="15" w:type="dxa"/>
              </w:tblCellMar>
              <w:tblLook w:val="04A0"/>
            </w:tblPr>
            <w:tblGrid>
              <w:gridCol w:w="10200"/>
            </w:tblGrid>
            <w:tr w:rsidR="00D71C6A" w:rsidRPr="00D71C6A">
              <w:trPr>
                <w:tblCellSpacing w:w="15" w:type="dxa"/>
              </w:trPr>
              <w:tc>
                <w:tcPr>
                  <w:tcW w:w="0" w:type="auto"/>
                  <w:vAlign w:val="center"/>
                  <w:hideMark/>
                </w:tcPr>
                <w:p w:rsidR="00D71C6A" w:rsidRPr="00D71C6A" w:rsidRDefault="00D71C6A" w:rsidP="00D71C6A">
                  <w:pPr>
                    <w:widowControl/>
                    <w:spacing w:before="100" w:beforeAutospacing="1" w:after="100" w:afterAutospacing="1"/>
                    <w:jc w:val="center"/>
                    <w:rPr>
                      <w:rFonts w:ascii="华文中宋" w:eastAsia="华文中宋" w:hAnsi="华文中宋" w:cs="宋体"/>
                      <w:b/>
                      <w:bCs/>
                      <w:color w:val="FF0000"/>
                      <w:kern w:val="0"/>
                      <w:sz w:val="74"/>
                      <w:szCs w:val="74"/>
                    </w:rPr>
                  </w:pPr>
                  <w:r w:rsidRPr="00D71C6A">
                    <w:rPr>
                      <w:rFonts w:ascii="华文中宋" w:eastAsia="华文中宋" w:hAnsi="华文中宋" w:cs="宋体" w:hint="eastAsia"/>
                      <w:b/>
                      <w:bCs/>
                      <w:color w:val="FF0000"/>
                      <w:kern w:val="0"/>
                      <w:sz w:val="74"/>
                      <w:szCs w:val="74"/>
                    </w:rPr>
                    <w:t xml:space="preserve">财政部 </w:t>
                  </w:r>
                </w:p>
              </w:tc>
            </w:tr>
          </w:tbl>
          <w:p w:rsidR="00D71C6A" w:rsidRPr="00D71C6A" w:rsidRDefault="00D71C6A" w:rsidP="00D71C6A">
            <w:pPr>
              <w:widowControl/>
              <w:spacing w:after="240"/>
              <w:jc w:val="left"/>
              <w:rPr>
                <w:rFonts w:ascii="宋体" w:eastAsia="宋体" w:hAnsi="宋体" w:cs="宋体"/>
                <w:kern w:val="0"/>
                <w:sz w:val="24"/>
                <w:szCs w:val="24"/>
              </w:rPr>
            </w:pPr>
          </w:p>
          <w:p w:rsidR="00D71C6A" w:rsidRPr="00D71C6A" w:rsidRDefault="00D71C6A" w:rsidP="00D71C6A">
            <w:pPr>
              <w:widowControl/>
              <w:spacing w:before="100" w:beforeAutospacing="1"/>
              <w:jc w:val="center"/>
              <w:rPr>
                <w:rFonts w:ascii="仿宋_GB2312" w:eastAsia="仿宋_GB2312" w:hAnsi="宋体" w:cs="宋体"/>
                <w:kern w:val="0"/>
                <w:sz w:val="24"/>
                <w:szCs w:val="24"/>
              </w:rPr>
            </w:pPr>
            <w:r w:rsidRPr="00D71C6A">
              <w:rPr>
                <w:rFonts w:ascii="仿宋_GB2312" w:eastAsia="仿宋_GB2312" w:hAnsi="宋体" w:cs="宋体" w:hint="eastAsia"/>
                <w:kern w:val="0"/>
                <w:sz w:val="24"/>
                <w:szCs w:val="24"/>
              </w:rPr>
              <w:t xml:space="preserve">财库[2014]215号 </w:t>
            </w:r>
          </w:p>
          <w:p w:rsidR="00D71C6A" w:rsidRPr="00D71C6A" w:rsidRDefault="00D71C6A" w:rsidP="00D71C6A">
            <w:pPr>
              <w:widowControl/>
              <w:jc w:val="left"/>
              <w:rPr>
                <w:rFonts w:ascii="宋体" w:eastAsia="宋体" w:hAnsi="宋体" w:cs="宋体" w:hint="eastAsia"/>
                <w:kern w:val="0"/>
                <w:sz w:val="24"/>
                <w:szCs w:val="24"/>
              </w:rPr>
            </w:pPr>
            <w:r w:rsidRPr="00D71C6A">
              <w:rPr>
                <w:rFonts w:ascii="宋体" w:eastAsia="宋体" w:hAnsi="宋体" w:cs="宋体"/>
                <w:kern w:val="0"/>
                <w:sz w:val="24"/>
                <w:szCs w:val="24"/>
              </w:rPr>
              <w:pict>
                <v:rect id="_x0000_i1025" style="width:415.3pt;height:2.25pt" o:hralign="center" o:hrstd="t" o:hrnoshade="t" o:hr="t" fillcolor="red" stroked="f"/>
              </w:pict>
            </w:r>
          </w:p>
          <w:tbl>
            <w:tblPr>
              <w:tblW w:w="4500" w:type="pct"/>
              <w:jc w:val="center"/>
              <w:tblCellSpacing w:w="0" w:type="dxa"/>
              <w:tblCellMar>
                <w:left w:w="0" w:type="dxa"/>
                <w:right w:w="0" w:type="dxa"/>
              </w:tblCellMar>
              <w:tblLook w:val="04A0"/>
            </w:tblPr>
            <w:tblGrid>
              <w:gridCol w:w="9180"/>
            </w:tblGrid>
            <w:tr w:rsidR="00D71C6A" w:rsidRPr="00D71C6A">
              <w:trPr>
                <w:tblCellSpacing w:w="0" w:type="dxa"/>
                <w:jc w:val="center"/>
              </w:trPr>
              <w:tc>
                <w:tcPr>
                  <w:tcW w:w="0" w:type="auto"/>
                  <w:vAlign w:val="center"/>
                  <w:hideMark/>
                </w:tcPr>
                <w:p w:rsidR="00D71C6A" w:rsidRPr="00D71C6A" w:rsidRDefault="00D71C6A" w:rsidP="00D71C6A">
                  <w:pPr>
                    <w:widowControl/>
                    <w:jc w:val="left"/>
                    <w:rPr>
                      <w:rFonts w:ascii="仿宋_GB2312" w:eastAsia="仿宋_GB2312" w:hAnsi="宋体" w:cs="宋体"/>
                      <w:kern w:val="0"/>
                      <w:sz w:val="30"/>
                      <w:szCs w:val="30"/>
                    </w:rPr>
                  </w:pP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 xml:space="preserve"> </w:t>
                  </w:r>
                </w:p>
              </w:tc>
            </w:tr>
            <w:tr w:rsidR="00D71C6A" w:rsidRPr="00D71C6A">
              <w:trPr>
                <w:tblCellSpacing w:w="0" w:type="dxa"/>
                <w:jc w:val="center"/>
              </w:trPr>
              <w:tc>
                <w:tcPr>
                  <w:tcW w:w="0" w:type="auto"/>
                  <w:vAlign w:val="center"/>
                  <w:hideMark/>
                </w:tcPr>
                <w:p w:rsidR="00D71C6A" w:rsidRPr="00D71C6A" w:rsidRDefault="00D71C6A" w:rsidP="00D71C6A">
                  <w:pPr>
                    <w:widowControl/>
                    <w:jc w:val="left"/>
                    <w:rPr>
                      <w:rFonts w:ascii="仿宋_GB2312" w:eastAsia="仿宋_GB2312" w:hAnsi="宋体" w:cs="宋体"/>
                      <w:kern w:val="0"/>
                      <w:sz w:val="30"/>
                      <w:szCs w:val="30"/>
                    </w:rPr>
                  </w:pPr>
                </w:p>
              </w:tc>
            </w:tr>
            <w:tr w:rsidR="00D71C6A" w:rsidRPr="00D71C6A">
              <w:trPr>
                <w:tblCellSpacing w:w="0" w:type="dxa"/>
                <w:jc w:val="center"/>
              </w:trPr>
              <w:tc>
                <w:tcPr>
                  <w:tcW w:w="0" w:type="auto"/>
                  <w:vAlign w:val="center"/>
                  <w:hideMark/>
                </w:tcPr>
                <w:p w:rsidR="00D71C6A" w:rsidRPr="00D71C6A" w:rsidRDefault="00D71C6A" w:rsidP="00D71C6A">
                  <w:pPr>
                    <w:widowControl/>
                    <w:jc w:val="left"/>
                    <w:rPr>
                      <w:rFonts w:ascii="仿宋_GB2312" w:eastAsia="仿宋_GB2312" w:hAnsi="宋体" w:cs="宋体"/>
                      <w:kern w:val="0"/>
                      <w:sz w:val="30"/>
                      <w:szCs w:val="30"/>
                    </w:rPr>
                  </w:pPr>
                </w:p>
              </w:tc>
            </w:tr>
            <w:tr w:rsidR="00D71C6A" w:rsidRPr="00D71C6A">
              <w:trPr>
                <w:tblCellSpacing w:w="0" w:type="dxa"/>
                <w:jc w:val="center"/>
              </w:trPr>
              <w:tc>
                <w:tcPr>
                  <w:tcW w:w="0" w:type="auto"/>
                  <w:hideMark/>
                </w:tcPr>
                <w:p w:rsidR="00D71C6A" w:rsidRPr="00D71C6A" w:rsidRDefault="00D71C6A" w:rsidP="00D71C6A">
                  <w:pPr>
                    <w:widowControl/>
                    <w:spacing w:before="100" w:beforeAutospacing="1" w:after="100" w:afterAutospacing="1"/>
                    <w:jc w:val="center"/>
                    <w:rPr>
                      <w:rFonts w:ascii="仿宋_GB2312" w:eastAsia="仿宋_GB2312" w:hAnsi="宋体" w:cs="宋体" w:hint="eastAsia"/>
                      <w:b/>
                      <w:bCs/>
                      <w:kern w:val="0"/>
                      <w:sz w:val="33"/>
                      <w:szCs w:val="33"/>
                    </w:rPr>
                  </w:pPr>
                  <w:r w:rsidRPr="00D71C6A">
                    <w:rPr>
                      <w:rFonts w:ascii="仿宋_GB2312" w:eastAsia="仿宋_GB2312" w:hAnsi="宋体" w:cs="宋体" w:hint="eastAsia"/>
                      <w:b/>
                      <w:bCs/>
                      <w:kern w:val="0"/>
                      <w:sz w:val="33"/>
                      <w:szCs w:val="33"/>
                    </w:rPr>
                    <w:t xml:space="preserve">关于印发《政府和社会资本合作项目政府采购管理办法》的通知 </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党中央有关部门，国务院各部委、各直属机构，全国人大常委会办公厅，全国政协办公厅，高法院，高检院，有关人民团体，各省、自治区、直辖市、计划单列市财政厅（局），新疆生产建设兵团财务局，</w:t>
                  </w:r>
                  <w:proofErr w:type="gramStart"/>
                  <w:r w:rsidRPr="00D71C6A">
                    <w:rPr>
                      <w:rFonts w:ascii="仿宋_GB2312" w:eastAsia="仿宋_GB2312" w:hAnsi="宋体" w:cs="宋体" w:hint="eastAsia"/>
                      <w:kern w:val="0"/>
                      <w:sz w:val="30"/>
                      <w:szCs w:val="30"/>
                    </w:rPr>
                    <w:t>各集中</w:t>
                  </w:r>
                  <w:proofErr w:type="gramEnd"/>
                  <w:r w:rsidRPr="00D71C6A">
                    <w:rPr>
                      <w:rFonts w:ascii="仿宋_GB2312" w:eastAsia="仿宋_GB2312" w:hAnsi="宋体" w:cs="宋体" w:hint="eastAsia"/>
                      <w:kern w:val="0"/>
                      <w:sz w:val="30"/>
                      <w:szCs w:val="30"/>
                    </w:rPr>
                    <w:t>采购机构：</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为了贯彻落实《国务院关于创新重点领域投融资机制　鼓励社会投资的指导意见》（国发〔２０１４〕６０号），推广政府和社会资本合作（ＰＰＰ）模式，规范ＰＰＰ项目政府采购行为，根据《中华人民共和国政府采购法》和有关法律法规，财政部制定了《政府和社会资本合作项目政府采购管理办法》。现印发给你们，请遵照执行。</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附件：政府和社会资本合作项目政府采购管理办法</w:t>
                  </w:r>
                </w:p>
                <w:p w:rsidR="00D71C6A" w:rsidRPr="00D71C6A" w:rsidRDefault="00D71C6A" w:rsidP="00D71C6A">
                  <w:pPr>
                    <w:widowControl/>
                    <w:wordWrap w:val="0"/>
                    <w:spacing w:before="100" w:beforeAutospacing="1" w:after="100" w:afterAutospacing="1"/>
                    <w:jc w:val="righ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w:t>
                  </w:r>
                </w:p>
                <w:p w:rsidR="00D71C6A" w:rsidRPr="00D71C6A" w:rsidRDefault="00D71C6A" w:rsidP="00D71C6A">
                  <w:pPr>
                    <w:widowControl/>
                    <w:wordWrap w:val="0"/>
                    <w:spacing w:before="100" w:beforeAutospacing="1" w:after="100" w:afterAutospacing="1"/>
                    <w:jc w:val="righ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财政部</w:t>
                  </w:r>
                </w:p>
                <w:p w:rsidR="00D71C6A" w:rsidRPr="00D71C6A" w:rsidRDefault="00D71C6A" w:rsidP="00D71C6A">
                  <w:pPr>
                    <w:widowControl/>
                    <w:wordWrap w:val="0"/>
                    <w:spacing w:before="100" w:beforeAutospacing="1" w:after="100" w:afterAutospacing="1"/>
                    <w:jc w:val="righ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2014年12月31日</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lastRenderedPageBreak/>
                    <w:t xml:space="preserve">　　附件</w:t>
                  </w:r>
                </w:p>
                <w:p w:rsidR="00D71C6A" w:rsidRPr="00D71C6A" w:rsidRDefault="00D71C6A" w:rsidP="00D71C6A">
                  <w:pPr>
                    <w:widowControl/>
                    <w:wordWrap w:val="0"/>
                    <w:spacing w:before="100" w:beforeAutospacing="1" w:after="100" w:afterAutospacing="1"/>
                    <w:jc w:val="center"/>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政府和社会资本合作项目政府采购管理办法</w:t>
                  </w:r>
                </w:p>
                <w:p w:rsidR="00D71C6A" w:rsidRPr="00D71C6A" w:rsidRDefault="00D71C6A" w:rsidP="00D71C6A">
                  <w:pPr>
                    <w:widowControl/>
                    <w:wordWrap w:val="0"/>
                    <w:spacing w:before="100" w:beforeAutospacing="1" w:after="100" w:afterAutospacing="1"/>
                    <w:jc w:val="center"/>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第一章</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总则</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第一条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为了规范政府和社会资本合作项目政府采购（以下简称PPP项目采购）行为，维护国家利益、社会公共利益和政府采购当事人的合法权益，依据《中华人民共和国政府采购法》（以下简称政府采购法）和有关法律、行政法规、部门规章，制定本办法。</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本办法所称PPP项目采购，是指政府为达成权利义务平衡、物有所值的PPP项目合同，遵循公开、公平、公正和诚实信用原则，按照相关法规要求完成PPP项目识别和准备等前期工作后，依法选择社会资本合作者的过程。PPP项目实施机构（采购人）在项目实施过程中选择合作社会资本（供应商），适用本办法。</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第三条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PPP项目实施机构可以委托政府采购代理机构办理PPP项目采购事宜。PPP项目咨询服务机构从事PPP项目采购业务的，应当按照政府采购代理机构管理的有关要求及时进行网上登记。</w:t>
                  </w:r>
                </w:p>
                <w:p w:rsidR="00D71C6A" w:rsidRPr="00D71C6A" w:rsidRDefault="00D71C6A" w:rsidP="00D71C6A">
                  <w:pPr>
                    <w:widowControl/>
                    <w:wordWrap w:val="0"/>
                    <w:spacing w:before="100" w:beforeAutospacing="1" w:after="100" w:afterAutospacing="1"/>
                    <w:jc w:val="center"/>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第二章</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采购程序</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第四条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PPP项目采购方式包括公开招标、邀请招标、竞争性谈判、竞争性磋商和单一来源采购。项目实施机构应当根据PPP项目的采购需求特点，依法选择适当的采购方式。公开招标主要适用于采购需求</w:t>
                  </w:r>
                  <w:r w:rsidRPr="00D71C6A">
                    <w:rPr>
                      <w:rFonts w:ascii="仿宋_GB2312" w:eastAsia="仿宋_GB2312" w:hAnsi="宋体" w:cs="宋体" w:hint="eastAsia"/>
                      <w:kern w:val="0"/>
                      <w:sz w:val="30"/>
                      <w:szCs w:val="30"/>
                    </w:rPr>
                    <w:lastRenderedPageBreak/>
                    <w:t>中核心边界条件和技术经济参数明确、完整、符合国家法律法规及政府采购政策，且采购过程中不作更改的项目。</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第五条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PPP项目采购应当实行资格预审。项目实施机构应当根据项目需要准备资格预审文件，发布资格预审公告，邀请社会资本和与其合作的金融机构参与资格预审，验证项目能否获得社会资本响应和实现充分竞争。</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第六条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资格预审公告应当在省级以上人民政府财政部门指定的政府采购信息发布媒体上发布。资格预审合格的社会资本在签订PPP项目合同</w:t>
                  </w:r>
                  <w:proofErr w:type="gramStart"/>
                  <w:r w:rsidRPr="00D71C6A">
                    <w:rPr>
                      <w:rFonts w:ascii="仿宋_GB2312" w:eastAsia="仿宋_GB2312" w:hAnsi="宋体" w:cs="宋体" w:hint="eastAsia"/>
                      <w:kern w:val="0"/>
                      <w:sz w:val="30"/>
                      <w:szCs w:val="30"/>
                    </w:rPr>
                    <w:t>前资格</w:t>
                  </w:r>
                  <w:proofErr w:type="gramEnd"/>
                  <w:r w:rsidRPr="00D71C6A">
                    <w:rPr>
                      <w:rFonts w:ascii="仿宋_GB2312" w:eastAsia="仿宋_GB2312" w:hAnsi="宋体" w:cs="宋体" w:hint="eastAsia"/>
                      <w:kern w:val="0"/>
                      <w:sz w:val="30"/>
                      <w:szCs w:val="30"/>
                    </w:rPr>
                    <w:t>发生变化的，应当通知项目实施机构。</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资格预审公告应当包括项目授权主体、项目实施机构和项目名称、采购需求、对社会资本的资格要求、是否允许联合体参与采购活动、是否限定参与竞争的合格社会资本的数量及限定的方法和标准、以及社会资本提交资格预审申请文件的时间和地点。提交资格预审申请文件的时间自公告发布之日起不得少于15个工作日。</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第七条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采购代理机构应当成立评审小组，负责PPP项目采购的资格预审和评审工作。评审小组由项目实施机构代表和评审专家共5人以上单数组成，其中评审专家人数不得少于评审小组成员总数的2/3。评审专家可以由项目实施机构自行选定，但评审专家中至少应当包含1名财务专家和1名法律专家。项目实施机构代表不得以评审专家身份参加项目的评审。</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lastRenderedPageBreak/>
                    <w:t xml:space="preserve">　　第八条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有3家以上社会资本通过资格预审的，项目实施机构可以继续开展采购文件准备工作；项目通过资格预审的社会资本不足3家的，项目实施机构应当在调整资格预审公告内容后重新组织资格预审；项目经重新资格预审后合格社会资本仍不够3家的，可以依法变更采购方式。</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资格预审结果应当告知所有参与资格预审的社会资本，并</w:t>
                  </w:r>
                  <w:proofErr w:type="gramStart"/>
                  <w:r w:rsidRPr="00D71C6A">
                    <w:rPr>
                      <w:rFonts w:ascii="仿宋_GB2312" w:eastAsia="仿宋_GB2312" w:hAnsi="宋体" w:cs="宋体" w:hint="eastAsia"/>
                      <w:kern w:val="0"/>
                      <w:sz w:val="30"/>
                      <w:szCs w:val="30"/>
                    </w:rPr>
                    <w:t>将资格</w:t>
                  </w:r>
                  <w:proofErr w:type="gramEnd"/>
                  <w:r w:rsidRPr="00D71C6A">
                    <w:rPr>
                      <w:rFonts w:ascii="仿宋_GB2312" w:eastAsia="仿宋_GB2312" w:hAnsi="宋体" w:cs="宋体" w:hint="eastAsia"/>
                      <w:kern w:val="0"/>
                      <w:sz w:val="30"/>
                      <w:szCs w:val="30"/>
                    </w:rPr>
                    <w:t>预审的评审报告提交财政部门（政府和社会资本合作中心）备案。</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第九条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采购文件应当包括采购邀请、竞争者须知（包括密封、签署、盖章要求等）、竞争者应当提供的资格、资信及业绩证明文件、采购方式、政府对项目实施机构的授权、实施方案的批复和项目相关审批文件、采购程序、响应文件编制要求、提交响应文件截止时间、开启时间及地点、保证金交纳数额和形式、评审方法、评审标准、政府采购政策要求、PPP项目合同草案及其他法律文本、采购结果确认谈判</w:t>
                  </w:r>
                  <w:proofErr w:type="gramStart"/>
                  <w:r w:rsidRPr="00D71C6A">
                    <w:rPr>
                      <w:rFonts w:ascii="仿宋_GB2312" w:eastAsia="仿宋_GB2312" w:hAnsi="宋体" w:cs="宋体" w:hint="eastAsia"/>
                      <w:kern w:val="0"/>
                      <w:sz w:val="30"/>
                      <w:szCs w:val="30"/>
                    </w:rPr>
                    <w:t>中项目</w:t>
                  </w:r>
                  <w:proofErr w:type="gramEnd"/>
                  <w:r w:rsidRPr="00D71C6A">
                    <w:rPr>
                      <w:rFonts w:ascii="仿宋_GB2312" w:eastAsia="仿宋_GB2312" w:hAnsi="宋体" w:cs="宋体" w:hint="eastAsia"/>
                      <w:kern w:val="0"/>
                      <w:sz w:val="30"/>
                      <w:szCs w:val="30"/>
                    </w:rPr>
                    <w:t>合同可变的细节、以及是否允许未参加资格预审的供应商参与竞争并进行资格</w:t>
                  </w:r>
                  <w:proofErr w:type="gramStart"/>
                  <w:r w:rsidRPr="00D71C6A">
                    <w:rPr>
                      <w:rFonts w:ascii="仿宋_GB2312" w:eastAsia="仿宋_GB2312" w:hAnsi="宋体" w:cs="宋体" w:hint="eastAsia"/>
                      <w:kern w:val="0"/>
                      <w:sz w:val="30"/>
                      <w:szCs w:val="30"/>
                    </w:rPr>
                    <w:t>后审等内容</w:t>
                  </w:r>
                  <w:proofErr w:type="gramEnd"/>
                  <w:r w:rsidRPr="00D71C6A">
                    <w:rPr>
                      <w:rFonts w:ascii="仿宋_GB2312" w:eastAsia="仿宋_GB2312" w:hAnsi="宋体" w:cs="宋体" w:hint="eastAsia"/>
                      <w:kern w:val="0"/>
                      <w:sz w:val="30"/>
                      <w:szCs w:val="30"/>
                    </w:rPr>
                    <w:t>。项目采购文件中还应当明确项目合同必须报请本级人民政府审核同意，在获得同意</w:t>
                  </w:r>
                  <w:proofErr w:type="gramStart"/>
                  <w:r w:rsidRPr="00D71C6A">
                    <w:rPr>
                      <w:rFonts w:ascii="仿宋_GB2312" w:eastAsia="仿宋_GB2312" w:hAnsi="宋体" w:cs="宋体" w:hint="eastAsia"/>
                      <w:kern w:val="0"/>
                      <w:sz w:val="30"/>
                      <w:szCs w:val="30"/>
                    </w:rPr>
                    <w:t>前项目</w:t>
                  </w:r>
                  <w:proofErr w:type="gramEnd"/>
                  <w:r w:rsidRPr="00D71C6A">
                    <w:rPr>
                      <w:rFonts w:ascii="仿宋_GB2312" w:eastAsia="仿宋_GB2312" w:hAnsi="宋体" w:cs="宋体" w:hint="eastAsia"/>
                      <w:kern w:val="0"/>
                      <w:sz w:val="30"/>
                      <w:szCs w:val="30"/>
                    </w:rPr>
                    <w:t>合同不得生效。</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采用竞争性谈判或者竞争性磋商采购方式的，项目采购文件除上款规定的内容外，还应当明确评审小组根据与社会资本谈判情况可能实质性变动的内容，包括采购需求中的技术、服务要求以及项目合同草案条款。</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lastRenderedPageBreak/>
                    <w:t xml:space="preserve">　　第十条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项目实施机构应当在资格预审公告、采购公告、采购文件、项目合同中列明采购本国货物和服务、技术引进和转让等政策要求，以及对社会资本参与采购活动和履约保证的担保要求。</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第十一条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组织社会资本进行现场考察或者召开采购前答疑会，但不得单独或者分别组织只有一个社会资本参加的现场考察和答疑会。项目实施机构可以视项目的具体情况，组织对符合条件的社会资本的资格条件进行考察核实。</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第十二条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评审小组成员应当按照客观、公正、审慎的原则，根据资格预审公告和采购文件规定的程序、方法和标准进行资格预审和独立评审。已进行资格预审的，评审小组在评审阶段可以不再对社会资本进行资格审查。允许进行资格后审的，由评审小组在响应文件评审环节对社会资本进行资格审查。</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评审小组成员应当在资格预审报告和评审报告上签字，对自己的评审意见承担法律责任。对资格预审报告或者评审报告有异议的，应当在报告上签署不同意见，并说明理由，否则视为同意资格预审报告和评审报告。</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评审小组发现采购文件内容违反国家有关强制性规定的，应当停止评审并向项目实施机构说明情况。</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第十三条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评审专家应当遵守评审工作纪律，不得泄露评审情况</w:t>
                  </w:r>
                  <w:r w:rsidRPr="00D71C6A">
                    <w:rPr>
                      <w:rFonts w:ascii="仿宋_GB2312" w:eastAsia="仿宋_GB2312" w:hAnsi="宋体" w:cs="宋体" w:hint="eastAsia"/>
                      <w:kern w:val="0"/>
                      <w:sz w:val="30"/>
                      <w:szCs w:val="30"/>
                    </w:rPr>
                    <w:lastRenderedPageBreak/>
                    <w:t>和评审中获悉的国家秘密、商业秘密。</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评审小组在评审过程中发现社会资本有行贿、提供虚假材料或者串通等违法行为的，应当及时向财政部门报告。</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评审专家在评审过程中受到非法干涉的，应当及时向财政、监察等部门举报。</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第十四条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PPP项目采购评审结束后，项目实施机构应当成立专门的采购结果确认谈判工作组，负责采购结果确认前的谈判和最终的采购结果确认工作。</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采购结果确认谈判工作组成员及数量由项目实施机构确定，但应当至少包括财政预算管理部门、行业主管部门代表，以及财务、法律等方面的专家。涉及价格管理、环境保护的PPP项目，谈判工作组还应当包括价格管理、环境保护行政执法机关代表。评审小组成员可以作为采购结果确认谈判工作组成员参与采购结果确认谈判。</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第十五条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采购结果确认谈判工作组应当按照评审报告推荐的候选社会资本排名，依次与候选社会资本及与其合作的金融机构就项目合同中可变的细节问题进行项目合同签署前的确认谈判，率先达成一致的候选社会资本即为预中标、成交社会资本。</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第十六条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确认谈判不得涉及项目合同中不可谈判的核心条款，不得与排序在前但已终止谈判的社会资本进行重复谈判。</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lastRenderedPageBreak/>
                    <w:t xml:space="preserve">　　第十七条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预中标、成交社会资本确定后10个工作日内，与预中标、成交社会资本签署确认谈判备忘录，并将预中标、成交结果和根据采购文件、响应文件及有关补遗文件和确认谈判备忘录拟定的项目合同文本在省级以上人民政府财政部门指定的政府采购信息发布媒体上进行公示，公示期不得少于5个工作日。项目合同文本应当将预中标、成交社会资本响应文件中的重要承诺和技术文件等作为附件。项目合同文本涉及国家秘密、商业秘密的内容可以不公示。</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第十八条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项目实施机构应当在公示期满无异议后2个工作日内，将中标、成交结果在省级以上人民政府财政部门指定的政府采购信息发布媒体上进行公告，同时发出中标、成交通知书。</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中标、成交结果公告内容应当包括：项目实施机构和采购代理机构的名称、地址和联系方式；项目名称和项目编号；中标或者成交社会资本的名称、地址、法人代表；中标或者成交标的名称、主要中标或者成交条件（包括但不限于合作期限、服务要求、项目概算、回报机制）等；评审小组和采购结果确认谈判工作组成员名单。</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第十九条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项目实施机构应当在中标、成交通知书发出后30日内，与中标、成交社会资本签订经本级人民政府审核同意的PPP项目合同。</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需要为PPP项目设立专门项目公司的，待项目公司成立后，由项目公司与项目实施机构重新签署PPP项目合同，或者签署关于继承PPP</w:t>
                  </w:r>
                  <w:r w:rsidRPr="00D71C6A">
                    <w:rPr>
                      <w:rFonts w:ascii="仿宋_GB2312" w:eastAsia="仿宋_GB2312" w:hAnsi="宋体" w:cs="宋体" w:hint="eastAsia"/>
                      <w:kern w:val="0"/>
                      <w:sz w:val="30"/>
                      <w:szCs w:val="30"/>
                    </w:rPr>
                    <w:lastRenderedPageBreak/>
                    <w:t>项目合同的补充合同。</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第二十条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项目实施机构应当在PPP项目合同签订之日起2个工作日内，将PPP项目合同在省级以上人民政府财政部门指定的政府采购信息发布媒体上公告，但PPP项目合同中涉及国家秘密、商业秘密的内容除外。</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第二十一条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项目实施机构应当在采购文件中要求社会资本交纳参加采购活动的保证金和履约保证金。社会资本应当以支票、汇票、本票或者金融机构、担保机构出具的保函等非现金形式交纳保证金。参加采购活动的保证金数额不得超过项目预算金额的2%。履约保证金的数额不得超过PPP项目初始投资总额或者资产评估值的10%，无固定资产投资或者投资额不大的服务型PPP项目，履约保证金的数额不得超过平均6个月服务收入额。</w:t>
                  </w:r>
                </w:p>
                <w:p w:rsidR="00D71C6A" w:rsidRPr="00D71C6A" w:rsidRDefault="00D71C6A" w:rsidP="00D71C6A">
                  <w:pPr>
                    <w:widowControl/>
                    <w:wordWrap w:val="0"/>
                    <w:spacing w:before="100" w:beforeAutospacing="1" w:after="100" w:afterAutospacing="1"/>
                    <w:jc w:val="center"/>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第三章</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争议处理和监督检查</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第二十二条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参加PPP项目采购活动的社会资本对采购活动的询问、质疑和投诉，依照有关政府采购法律制度规定执行。</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项目实施机构和中标、成交社会资本在PPP项目合同履行中发生争议且无法协商一致的，可以依法申请仲裁或者提起民事诉讼。</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第二十三条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各级人民政府财政部门应当加强对PPP项目采购活动的监督检查，依法处理采购活动中的违法违规行为。</w:t>
                  </w:r>
                </w:p>
                <w:p w:rsidR="00D71C6A" w:rsidRPr="00D71C6A" w:rsidRDefault="00D71C6A" w:rsidP="00D71C6A">
                  <w:pPr>
                    <w:widowControl/>
                    <w:wordWrap w:val="0"/>
                    <w:spacing w:before="100" w:beforeAutospacing="1" w:after="100" w:afterAutospacing="1"/>
                    <w:jc w:val="left"/>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lastRenderedPageBreak/>
                    <w:t xml:space="preserve">　　第二十四条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PPP项目采购有关单位和人员在采购活动中出现违法违规行为的，依照政府采购法及有关法律法规追究法律责任。</w:t>
                  </w:r>
                </w:p>
                <w:p w:rsidR="00D71C6A" w:rsidRPr="00D71C6A" w:rsidRDefault="00D71C6A" w:rsidP="00D71C6A">
                  <w:pPr>
                    <w:widowControl/>
                    <w:wordWrap w:val="0"/>
                    <w:spacing w:before="100" w:beforeAutospacing="1" w:after="100" w:afterAutospacing="1"/>
                    <w:jc w:val="center"/>
                    <w:rPr>
                      <w:rFonts w:ascii="仿宋_GB2312" w:eastAsia="仿宋_GB2312" w:hAnsi="宋体" w:cs="宋体" w:hint="eastAsia"/>
                      <w:kern w:val="0"/>
                      <w:sz w:val="30"/>
                      <w:szCs w:val="30"/>
                    </w:rPr>
                  </w:pPr>
                  <w:r w:rsidRPr="00D71C6A">
                    <w:rPr>
                      <w:rFonts w:ascii="仿宋_GB2312" w:eastAsia="仿宋_GB2312" w:hAnsi="宋体" w:cs="宋体" w:hint="eastAsia"/>
                      <w:kern w:val="0"/>
                      <w:sz w:val="30"/>
                      <w:szCs w:val="30"/>
                    </w:rPr>
                    <w:t xml:space="preserve">　　第四章</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附则</w:t>
                  </w:r>
                </w:p>
                <w:p w:rsidR="00D71C6A" w:rsidRPr="00D71C6A" w:rsidRDefault="00D71C6A" w:rsidP="00D71C6A">
                  <w:pPr>
                    <w:widowControl/>
                    <w:wordWrap w:val="0"/>
                    <w:spacing w:before="100" w:beforeAutospacing="1" w:after="100" w:afterAutospacing="1"/>
                    <w:jc w:val="left"/>
                    <w:rPr>
                      <w:rFonts w:ascii="仿宋_GB2312" w:eastAsia="仿宋_GB2312" w:hAnsi="宋体" w:cs="宋体"/>
                      <w:kern w:val="0"/>
                      <w:sz w:val="30"/>
                      <w:szCs w:val="30"/>
                    </w:rPr>
                  </w:pPr>
                  <w:r w:rsidRPr="00D71C6A">
                    <w:rPr>
                      <w:rFonts w:ascii="仿宋_GB2312" w:eastAsia="仿宋_GB2312" w:hAnsi="宋体" w:cs="宋体" w:hint="eastAsia"/>
                      <w:kern w:val="0"/>
                      <w:sz w:val="30"/>
                      <w:szCs w:val="30"/>
                    </w:rPr>
                    <w:t xml:space="preserve">　　第二十五条</w:t>
                  </w:r>
                  <w:r w:rsidRPr="00D71C6A">
                    <w:rPr>
                      <w:rFonts w:ascii="仿宋_GB2312" w:eastAsia="仿宋_GB2312" w:hAnsi="宋体" w:cs="宋体" w:hint="eastAsia"/>
                      <w:kern w:val="0"/>
                      <w:sz w:val="30"/>
                      <w:szCs w:val="30"/>
                    </w:rPr>
                    <w:t>  </w:t>
                  </w:r>
                  <w:r w:rsidRPr="00D71C6A">
                    <w:rPr>
                      <w:rFonts w:ascii="仿宋_GB2312" w:eastAsia="仿宋_GB2312" w:hAnsi="宋体" w:cs="宋体" w:hint="eastAsia"/>
                      <w:kern w:val="0"/>
                      <w:sz w:val="30"/>
                      <w:szCs w:val="30"/>
                    </w:rPr>
                    <w:t>本办法自发布之日起施行。</w:t>
                  </w:r>
                </w:p>
              </w:tc>
            </w:tr>
          </w:tbl>
          <w:p w:rsidR="00D71C6A" w:rsidRPr="00D71C6A" w:rsidRDefault="00D71C6A" w:rsidP="00D71C6A">
            <w:pPr>
              <w:widowControl/>
              <w:jc w:val="left"/>
              <w:rPr>
                <w:rFonts w:ascii="宋体" w:eastAsia="宋体" w:hAnsi="宋体" w:cs="宋体"/>
                <w:kern w:val="0"/>
                <w:sz w:val="24"/>
                <w:szCs w:val="24"/>
              </w:rPr>
            </w:pPr>
          </w:p>
        </w:tc>
      </w:tr>
    </w:tbl>
    <w:p w:rsidR="001F7C82" w:rsidRPr="00D71C6A" w:rsidRDefault="001F7C82"/>
    <w:sectPr w:rsidR="001F7C82" w:rsidRPr="00D71C6A" w:rsidSect="001F7C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1C6A"/>
    <w:rsid w:val="001F7C82"/>
    <w:rsid w:val="00D71C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1">
    <w:name w:val="g1"/>
    <w:basedOn w:val="a"/>
    <w:rsid w:val="00D71C6A"/>
    <w:pPr>
      <w:widowControl/>
      <w:spacing w:before="100" w:beforeAutospacing="1" w:after="100" w:afterAutospacing="1"/>
      <w:jc w:val="left"/>
    </w:pPr>
    <w:rPr>
      <w:rFonts w:ascii="华文中宋" w:eastAsia="华文中宋" w:hAnsi="华文中宋" w:cs="宋体"/>
      <w:b/>
      <w:bCs/>
      <w:color w:val="FF0000"/>
      <w:kern w:val="0"/>
      <w:sz w:val="74"/>
      <w:szCs w:val="74"/>
    </w:rPr>
  </w:style>
  <w:style w:type="paragraph" w:customStyle="1" w:styleId="g2">
    <w:name w:val="g2"/>
    <w:basedOn w:val="a"/>
    <w:rsid w:val="00D71C6A"/>
    <w:pPr>
      <w:widowControl/>
      <w:spacing w:before="100" w:beforeAutospacing="1"/>
      <w:jc w:val="left"/>
    </w:pPr>
    <w:rPr>
      <w:rFonts w:ascii="仿宋_GB2312" w:eastAsia="仿宋_GB2312" w:hAnsi="宋体" w:cs="宋体"/>
      <w:kern w:val="0"/>
      <w:sz w:val="24"/>
      <w:szCs w:val="24"/>
    </w:rPr>
  </w:style>
  <w:style w:type="paragraph" w:customStyle="1" w:styleId="g3">
    <w:name w:val="g3"/>
    <w:basedOn w:val="a"/>
    <w:rsid w:val="00D71C6A"/>
    <w:pPr>
      <w:widowControl/>
      <w:spacing w:before="100" w:beforeAutospacing="1" w:after="100" w:afterAutospacing="1"/>
      <w:jc w:val="left"/>
    </w:pPr>
    <w:rPr>
      <w:rFonts w:ascii="仿宋_GB2312" w:eastAsia="仿宋_GB2312" w:hAnsi="宋体" w:cs="宋体"/>
      <w:b/>
      <w:bCs/>
      <w:kern w:val="0"/>
      <w:sz w:val="33"/>
      <w:szCs w:val="33"/>
    </w:rPr>
  </w:style>
  <w:style w:type="paragraph" w:styleId="a3">
    <w:name w:val="Normal (Web)"/>
    <w:basedOn w:val="a"/>
    <w:uiPriority w:val="99"/>
    <w:unhideWhenUsed/>
    <w:rsid w:val="00D71C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1C6A"/>
    <w:rPr>
      <w:b/>
      <w:bCs/>
    </w:rPr>
  </w:style>
</w:styles>
</file>

<file path=word/webSettings.xml><?xml version="1.0" encoding="utf-8"?>
<w:webSettings xmlns:r="http://schemas.openxmlformats.org/officeDocument/2006/relationships" xmlns:w="http://schemas.openxmlformats.org/wordprocessingml/2006/main">
  <w:divs>
    <w:div w:id="506680046">
      <w:bodyDiv w:val="1"/>
      <w:marLeft w:val="0"/>
      <w:marRight w:val="0"/>
      <w:marTop w:val="0"/>
      <w:marBottom w:val="0"/>
      <w:divBdr>
        <w:top w:val="none" w:sz="0" w:space="0" w:color="auto"/>
        <w:left w:val="none" w:sz="0" w:space="0" w:color="auto"/>
        <w:bottom w:val="none" w:sz="0" w:space="0" w:color="auto"/>
        <w:right w:val="none" w:sz="0" w:space="0" w:color="auto"/>
      </w:divBdr>
      <w:divsChild>
        <w:div w:id="50470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cgzx2</dc:creator>
  <cp:lastModifiedBy>cgzx2</cp:lastModifiedBy>
  <cp:revision>1</cp:revision>
  <cp:lastPrinted>2015-02-25T06:20:00Z</cp:lastPrinted>
  <dcterms:created xsi:type="dcterms:W3CDTF">2015-02-25T06:19:00Z</dcterms:created>
  <dcterms:modified xsi:type="dcterms:W3CDTF">2015-02-25T06:21:00Z</dcterms:modified>
</cp:coreProperties>
</file>