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普陀区科普创新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项目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视频技术要求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</w:pPr>
    </w:p>
    <w:p>
      <w:pPr>
        <w:spacing w:beforeLines="0" w:afterLines="0"/>
        <w:jc w:val="left"/>
        <w:rPr>
          <w:rFonts w:hint="eastAsia"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>1、</w:t>
      </w:r>
      <w:r>
        <w:rPr>
          <w:rFonts w:hint="eastAsia" w:ascii="FangSong_GB2312" w:hAnsi="FangSong_GB2312" w:eastAsia="FangSong_GB2312"/>
          <w:color w:val="000000"/>
          <w:sz w:val="32"/>
        </w:rPr>
        <w:t>格</w:t>
      </w: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 式：mp4、mov、flv 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>2、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码 </w:t>
      </w: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率：20Mbps 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>3、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分辨率：1080p 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>4、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帧 </w:t>
      </w:r>
      <w:r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/>
          <w:color w:val="000000"/>
          <w:sz w:val="32"/>
        </w:rPr>
        <w:t xml:space="preserve">率：25 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9600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 Unicode MS" w:hAnsi="Arial Unicode MS" w:eastAsia="Arial Unicode MS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2022-02-18T01:25:00Z</dcterms:created>
  <dc:creator>普陀区人民政府专用版</dc:creator>
  <cp:lastModifiedBy>普陀区人民政府专用版</cp:lastModifiedBy>
  <dcterms:modified xsi:type="dcterms:W3CDTF">2022-02-18T02:44:03Z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