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5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专精特新中小企业认定标准</w:t>
      </w:r>
    </w:p>
    <w:p>
      <w:pPr>
        <w:spacing w:line="500" w:lineRule="exact"/>
        <w:ind w:firstLine="576" w:firstLineChars="200"/>
        <w:rPr>
          <w:rFonts w:hint="eastAsia" w:ascii="仿宋_GB2312" w:hAnsi="仿宋_GB2312" w:cs="仿宋_GB2312"/>
          <w:sz w:val="30"/>
          <w:szCs w:val="30"/>
        </w:rPr>
      </w:pPr>
    </w:p>
    <w:p>
      <w:pPr>
        <w:spacing w:line="500" w:lineRule="exact"/>
        <w:ind w:firstLine="616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一、认定条件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同时满足以下四项条件即视为满足认定条件：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（一）从事特定细分市场时间达到 2 年以上。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（二）上年度研发费用总额不低于 100 万元，且占营业收入总额比重不低于 3%。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（三）上年度营业收入总额在 1000 万元以上，或上年度营业收入总额在 1000 万元以下，但近 2 年内新增股权融资总额（合格机构投资者的实缴额）达到 2000 万元以上。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（四）评价得分达到 60 分以上或满足下列条件之一：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1.近三年获得过省级科技奖励，并在获奖单位中排名前三；或获得国家级科技奖励，并在获奖单位中排名前五。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2.近两年研发费用总额均值在1000万元以上。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3.近两年新增股权融资总额（合格机构投资者的实缴额）6000万元以上。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4.近三年进入“创客中国”中小企业创新创业大赛全国500强企业组名单。</w:t>
      </w:r>
    </w:p>
    <w:p>
      <w:pPr>
        <w:spacing w:line="500" w:lineRule="exact"/>
        <w:ind w:firstLine="616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二、评价指标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包括专业化、精细化、特色化和创新能力四类十三个指标，评价结果依分值计算，满分为 100 分。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（一）专业化指标（满分 25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1.上年度主营业务收入总额占营业收入总额比重（满分5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A.80%以上（5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B.70%-80%（3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C.60%-70%（1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D.60%以下（0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2.近 2 年主营业务收入平均增长率（满分 10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A.10%以上（10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B.8%-10%（8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C.6%-8%（6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D.4%-6%（4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E.0%-4%（2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F.0%以下（0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3.从事特定细分市场年限（满分 5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每满 2 年得 1 分，最高不超过 5 分。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4.主导产品所属领域情况（满分 5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A.在产业链供应链关键环节及关键领域“补短板”“锻长板”“填空白”取得实际成效（5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B.属于工业“六基”领域、中华老字号名录或企业主导产品服务关键产业链重点龙头企业（3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C.不属于以上情况（0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（二）精细化指标（满分 25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5.数字化水平（满分 5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A.三级以上（5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B.二级（3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C.一级（0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6.质量管理水平（每满足一项加 3 分，最高不超过 5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A.获得省级以上质量奖荣誉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pacing w:val="-17"/>
          <w:szCs w:val="32"/>
        </w:rPr>
      </w:pPr>
      <w:r>
        <w:rPr>
          <w:rFonts w:hint="eastAsia" w:ascii="仿宋_GB2312" w:hAnsi="仿宋_GB2312" w:cs="仿宋_GB2312"/>
          <w:szCs w:val="32"/>
        </w:rPr>
        <w:t>B.</w:t>
      </w:r>
      <w:r>
        <w:rPr>
          <w:rFonts w:hint="eastAsia" w:ascii="仿宋_GB2312" w:hAnsi="仿宋_GB2312" w:cs="仿宋_GB2312"/>
          <w:spacing w:val="-17"/>
          <w:szCs w:val="32"/>
        </w:rPr>
        <w:t>建立质量管理体系，获得 ISO9001 等质量管理体系认证证书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C.拥有自主品牌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D.参与制修订标准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7.上年度净利润率（满分 10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A.10%以上（10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B.8%-10%（8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C.6%-8%（6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D.4%-6%（4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E.2%-4%（2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F.2%以下（0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8.上年度资产负债率（满分 5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A.50%以下（5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B.50%-60%（3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C.60%-70%（1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D.70%以上（0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（三）特色化指标（满分 15 分）</w:t>
      </w:r>
    </w:p>
    <w:p>
      <w:pPr>
        <w:widowControl/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9.所属领域符合本市产业导向（满分4分）</w:t>
      </w:r>
    </w:p>
    <w:p>
      <w:pPr>
        <w:widowControl/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A.属于市级重点导向产业（4分）</w:t>
      </w:r>
    </w:p>
    <w:p>
      <w:pPr>
        <w:widowControl/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B.属于区级重点导向产业（2分）</w:t>
      </w:r>
    </w:p>
    <w:p>
      <w:pPr>
        <w:widowControl/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C.不属于以上情况（0分）</w:t>
      </w:r>
    </w:p>
    <w:p>
      <w:pPr>
        <w:widowControl/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10.细分市场领先地位（满分6分）</w:t>
      </w:r>
    </w:p>
    <w:p>
      <w:pPr>
        <w:widowControl/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A.国内细分市场占有率超过10%，或位居全国前三（6分）</w:t>
      </w:r>
    </w:p>
    <w:p>
      <w:pPr>
        <w:widowControl/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B.国内细分市场占有率位居全国前十或本市前五（5分）</w:t>
      </w:r>
    </w:p>
    <w:p>
      <w:pPr>
        <w:widowControl/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C.国内细分市场占有率位居本市前十（4分）</w:t>
      </w:r>
    </w:p>
    <w:p>
      <w:pPr>
        <w:widowControl/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D.不属于以上情况（0分）</w:t>
      </w:r>
    </w:p>
    <w:p>
      <w:pPr>
        <w:widowControl/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11.实施特色化经营（每满足一项加3分，最高不超过5分）</w:t>
      </w:r>
    </w:p>
    <w:p>
      <w:pPr>
        <w:widowControl/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A.具有特色资源或技术进行研发生产，提供独具特色的产品或服务</w:t>
      </w:r>
    </w:p>
    <w:p>
      <w:pPr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B.实现绿色低碳发展，拥有绿色产品、绿色工厂称号，获得能源管理体系等认证</w:t>
      </w:r>
    </w:p>
    <w:p>
      <w:pPr>
        <w:widowControl/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C.企业或产品获得区级及以上技术创新、品牌、质量、人才等奖项、资金支持、称号认定，或市级及以上行业协会重大奖项和称号认定</w:t>
      </w:r>
    </w:p>
    <w:p>
      <w:pPr>
        <w:widowControl/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D.企业有改制上市计划，已完成股份制改制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（四）创新能力指标（满分 35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12.与企业主导产品相关的有效知识产权数量（满分 10分）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A.Ⅰ类高价值知识产权1项以上（10分）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B.自主研发Ⅰ类知识产权1项以上（8分）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C.Ⅰ类知识产权1项以上（6分）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D.Ⅱ类知识产权1项以上（2分）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E.无（0分）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13.上年度研发费用投入（满分 10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A.研发费用总额 500 万元以上或研发费用总额占营业收入总额比重在 10%以上（10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B.研发费用总额 400-500 万元或研发费用总额占营业收入总额比重在 8%-10%（8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C.研发费用总额 300-400 万元或研发费用总额占营业收入总额比重在 6%-8%（6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D.研发费用总额 200-300 万元或研发费用总额占营业收入总额比重在 4%-6%（4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E.研发费用总额100-200万元或研发费用总额占营业收入总额比重在 3%-4%（2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F.不属于以上情况（0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14.上年度研发人员占比（满分 5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A.20%以上（5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B.10%-20%（3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C.5%-10%（1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D.5%以下（0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15.建立研发机构级别（满分 10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A.国家级（10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B.省级（8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C.市级（4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D.市级以下（2 分）</w:t>
      </w:r>
    </w:p>
    <w:p>
      <w:pPr>
        <w:spacing w:line="50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E.未建立研发机构（0 分）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87D5"/>
    <w:rsid w:val="9B76CE76"/>
    <w:rsid w:val="9D3BB10E"/>
    <w:rsid w:val="FEFF5F1B"/>
    <w:rsid w:val="FF7F87D5"/>
    <w:rsid w:val="FFBA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semiHidden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4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2025-01-14T01:47:00Z</dcterms:created>
  <dc:creator>lenovo</dc:creator>
  <cp:lastModifiedBy>lenovo</cp:lastModifiedBy>
  <dcterms:modified xsi:type="dcterms:W3CDTF">2025-08-07T08:55:56Z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