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6</w:t>
      </w:r>
    </w:p>
    <w:p>
      <w:pPr>
        <w:adjustRightInd w:val="0"/>
        <w:snapToGrid w:val="0"/>
        <w:spacing w:line="50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部分指标和要求说明</w:t>
      </w:r>
    </w:p>
    <w:bookmarkEnd w:id="0"/>
    <w:p>
      <w:pPr>
        <w:pStyle w:val="3"/>
        <w:spacing w:after="0" w:line="500" w:lineRule="exact"/>
        <w:rPr>
          <w:rFonts w:hint="eastAsia"/>
        </w:rPr>
      </w:pP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（二）所称拥有自主品牌是指主营业务产品或服务具有自主知识产权，且符合下列条件之一：</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1.产品或服务品牌已经国家知识产权局商标局正式注册。</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2.产品或服务已经实现收入。</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（三）所称“Ⅰ类知识产权”包括发明专利（含国防专利）、植物新品种、国家级农作物品种、国家新药、国家一级中药保护品种、集成电路布图设计专有权（均不包含转让未满 1 年的知识产权）。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（四）所称“Ⅰ类高价值知识产权”须符合以下条件之一：</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1.在海外有同族专利权的发明专利或在海外取得收入的其他Ⅰ类知识产权，其中专利限 G20 成员、新加坡以及欧洲专利局经实质审查后获得授权的发明专利。</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2.维持年限超过 10 年的Ⅰ类知识产权。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3.实现较高质押融资金额的Ⅰ类知识产权。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4.获得国家科学技术奖或中国专利奖的Ⅰ类知识产权。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（五）所称“Ⅱ类知识产权”包括与主导产品相关的软件著作权（不含商标）、授权后维持超过 2 年的实用新型专利或外观设计专利（均不包含转让未满 1 年的知识产权）。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（六）所称“企业数字化转型水平”是指在优质中小企业梯度培育平台完成数字化水平免费自测，具体自测网址、相关标准等事宜，另行明确。</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（八）所称“股权融资”是指公司股东稀释部分公司股权给投资人，以增资扩股（出让股权不超过 30%）的方式引进新的股东，从而取得公司融资的方式。</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（十）所称“主导产品”是指企业核心技术在产品中发挥重要作用，且产品收入之和占企业同期营业收入比重超过 50%。</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（十一）所称“细分市场占有率情况”是指企业主导产品在细分市场的占有率情况，可通过企业自证或其他方式佐证。</w:t>
      </w:r>
    </w:p>
    <w:p>
      <w:pPr>
        <w:adjustRightInd w:val="0"/>
        <w:snapToGrid w:val="0"/>
        <w:spacing w:line="500" w:lineRule="exact"/>
        <w:ind w:firstLine="616" w:firstLineChars="200"/>
        <w:rPr>
          <w:rFonts w:hint="eastAsia" w:ascii="仿宋_GB2312" w:hAnsi="Calibri"/>
          <w:spacing w:val="-11"/>
          <w:szCs w:val="32"/>
        </w:rPr>
      </w:pPr>
      <w:r>
        <w:rPr>
          <w:rFonts w:hint="eastAsia" w:ascii="仿宋_GB2312" w:hAnsi="Calibri"/>
          <w:szCs w:val="32"/>
        </w:rPr>
        <w:t>（十二）</w:t>
      </w:r>
      <w:r>
        <w:rPr>
          <w:rFonts w:hint="eastAsia" w:ascii="仿宋_GB2312" w:hAnsi="Calibri"/>
          <w:spacing w:val="-11"/>
          <w:szCs w:val="32"/>
        </w:rPr>
        <w:t>所称“省级科技奖励”包括各省、自治区、直辖市科学技术奖的一、二、三等奖；“国家级科技奖励”包括国家科学技术进步奖、国家自然科学奖、国家技术发明奖，以及国防科技奖。</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（十三）如无特殊说明，所称“以上”、“以下”，包括本数；所称的“超过”，不包括本数。在计算评价指标得分时，如指标值位于两个评分区间边界上，按高分计算得分。</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（十四）本办法部分指标计算公式</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近 2 年主营业务收入平均增长率=（企业上一年度主营业务收入增长率+企业上上年度主营业务收入增长率）/2。</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企业上一年度主营业务收入增长率=（企业上一年度主营业务收入总额-企业上上年度主营业务收入总额）/企业上上年度主营业务收入总额*100%。其他年度主营业务收入增长率计算方法以此类推。</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（十五）所称“被列入经营异常名录”以国家企业信用信息公示系统（http://www.gsxt.gov.cn）查询结果为准；所称“严重失信主体名单”以信用中国（http://www.creditchina.gov.cn）查询结果为准。</w:t>
      </w:r>
    </w:p>
    <w:p>
      <w:r>
        <w:rPr>
          <w:rFonts w:hint="eastAsia" w:ascii="仿宋_GB2312" w:hAnsi="Calibri"/>
          <w:szCs w:val="32"/>
        </w:rPr>
        <w:t>（十六）所称“创客中国”中小企业创新创业大赛全国 500强、50 强企业组名单是指该大赛 2021 年以来正式发布的名单。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87D5"/>
    <w:rsid w:val="7F492E8D"/>
    <w:rsid w:val="7F7E32D5"/>
    <w:rsid w:val="9B76CE76"/>
    <w:rsid w:val="9D3BB10E"/>
    <w:rsid w:val="FF7F8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PlainText"/>
    <w:basedOn w:val="1"/>
    <w:semiHidden/>
    <w:qFormat/>
    <w:uiPriority w:val="0"/>
    <w:pPr>
      <w:jc w:val="both"/>
      <w:textAlignment w:val="baseline"/>
    </w:pPr>
    <w:rPr>
      <w:rFonts w:ascii="宋体" w:hAnsi="Courier New"/>
      <w:kern w:val="2"/>
      <w:sz w:val="21"/>
      <w:szCs w:val="21"/>
      <w:lang w:val="en-US" w:eastAsia="zh-CN" w:bidi="ar-SA"/>
    </w:rPr>
  </w:style>
  <w:style w:type="paragraph" w:styleId="3">
    <w:name w:val="Body Text"/>
    <w:basedOn w:val="1"/>
    <w:next w:val="4"/>
    <w:qFormat/>
    <w:uiPriority w:val="0"/>
    <w:pPr>
      <w:spacing w:before="0" w:after="140" w:line="276" w:lineRule="auto"/>
    </w:pPr>
    <w:rPr>
      <w:rFonts w:ascii="Calibri" w:hAnsi="Calibri" w:eastAsia="宋体" w:cs="宋体"/>
      <w:spacing w:val="0"/>
      <w:sz w:val="21"/>
      <w:szCs w:val="24"/>
    </w:rPr>
  </w:style>
  <w:style w:type="paragraph" w:styleId="4">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2025-01-13T09:47:00Z</dcterms:created>
  <dc:creator>lenovo</dc:creator>
  <cp:lastModifiedBy>lenovo</cp:lastModifiedBy>
  <dcterms:modified xsi:type="dcterms:W3CDTF">2025-01-13T09:51:05Z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