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5</w:t>
      </w:r>
    </w:p>
    <w:p>
      <w:pPr>
        <w:spacing w:line="500" w:lineRule="exact"/>
        <w:jc w:val="center"/>
        <w:rPr>
          <w:rFonts w:hint="eastAsia" w:ascii="方正小标宋简体" w:hAnsi="方正小标宋简体" w:eastAsia="方正小标宋简体" w:cs="方正小标宋简体"/>
          <w:spacing w:val="0"/>
          <w:sz w:val="36"/>
          <w:szCs w:val="36"/>
        </w:rPr>
      </w:pPr>
      <w:bookmarkStart w:id="0" w:name="_GoBack"/>
      <w:r>
        <w:rPr>
          <w:rFonts w:hint="eastAsia" w:ascii="方正小标宋简体" w:hAnsi="方正小标宋简体" w:eastAsia="方正小标宋简体" w:cs="方正小标宋简体"/>
          <w:spacing w:val="0"/>
          <w:sz w:val="36"/>
          <w:szCs w:val="36"/>
        </w:rPr>
        <w:t>专精特新中小企业认定标准</w:t>
      </w:r>
      <w:bookmarkEnd w:id="0"/>
    </w:p>
    <w:p>
      <w:pPr>
        <w:spacing w:line="500" w:lineRule="exact"/>
        <w:ind w:firstLine="576" w:firstLineChars="200"/>
        <w:rPr>
          <w:rFonts w:hint="eastAsia" w:ascii="仿宋_GB2312" w:hAnsi="仿宋_GB2312" w:cs="仿宋_GB2312"/>
          <w:sz w:val="30"/>
          <w:szCs w:val="30"/>
        </w:rPr>
      </w:pPr>
    </w:p>
    <w:p>
      <w:pPr>
        <w:spacing w:line="500" w:lineRule="exact"/>
        <w:ind w:firstLine="616" w:firstLineChars="200"/>
        <w:rPr>
          <w:rFonts w:hint="eastAsia" w:ascii="黑体" w:hAnsi="黑体" w:eastAsia="黑体" w:cs="黑体"/>
          <w:szCs w:val="32"/>
        </w:rPr>
      </w:pPr>
      <w:r>
        <w:rPr>
          <w:rFonts w:hint="eastAsia" w:ascii="黑体" w:hAnsi="黑体" w:eastAsia="黑体" w:cs="黑体"/>
          <w:szCs w:val="32"/>
        </w:rPr>
        <w:t>一、认定条件</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同时满足以下四项条件即视为满足认定条件：</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（一）从事特定细分市场时间达到 2 年以上。</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（二）上年度研发费用总额不低于 100 万元，且占营业收入总额比重不低于 3%。</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（三）上年度营业收入总额在 1000 万元以上，或上年度营业收入总额在 1000 万元以下，但近 2 年内新增股权融资总额（合格机构投资者的实缴额）达到 2000 万元以上。</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（四）评价得分达到 60 分以上或满足下列条件之一：</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1.近三年获得过省级科技奖励，并在获奖单位中排名前三；或获得国家级科技奖励，并在获奖单位中排名前五。</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2.近两年研发费用总额均值在1000万元以上。</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3.近两年新增股权融资总额（合格机构投资者的实缴额）6000万元以上。</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4.近三年进入“创客中国”中小企业创新创业大赛全国500强企业组名单。</w:t>
      </w:r>
    </w:p>
    <w:p>
      <w:pPr>
        <w:spacing w:line="500" w:lineRule="exact"/>
        <w:ind w:firstLine="616" w:firstLineChars="200"/>
        <w:rPr>
          <w:rFonts w:hint="eastAsia" w:ascii="黑体" w:hAnsi="黑体" w:eastAsia="黑体" w:cs="黑体"/>
          <w:szCs w:val="32"/>
        </w:rPr>
      </w:pPr>
      <w:r>
        <w:rPr>
          <w:rFonts w:hint="eastAsia" w:ascii="黑体" w:hAnsi="黑体" w:eastAsia="黑体" w:cs="黑体"/>
          <w:szCs w:val="32"/>
        </w:rPr>
        <w:t>二、评价指标</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包括专业化、精细化、特色化和创新能力四类十三个指标，评价结果依分值计算，满分为 100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（一）专业化指标（满分 25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1.上年度主营业务收入总额占营业收入总额比重（满分5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A.80%以上（5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B.70%-80%（3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C.60%-70%（1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D.60%以下（0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2.近 2 年主营业务收入平均增长率（满分 10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A.10%以上（10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B.8%-10%（8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C.6%-8%（6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D.4%-6%（4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E.0%-4%（2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F.0%以下（0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3.从事特定细分市场年限（满分 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每满 2 年得 1 分，最高不超过 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4.主导产品所属领域情况（满分 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A.在产业链供应链关键环节及关键领域“补短板”“锻长板”“填空白”取得实际成效（5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B.属于工业“六基”领域、中华老字号名录或企业主导产品服务关键产业链重点龙头企业（3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C.不属于以上情况（0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（二）精细化指标（满分 25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5.数字化水平（满分 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A.三级以上（5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B.二级（3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C.一级（0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6.质量管理水平（每满足一项加 3 分，最高不超过 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A.获得省级以上质量奖荣誉</w:t>
      </w:r>
    </w:p>
    <w:p>
      <w:pPr>
        <w:spacing w:line="500" w:lineRule="exact"/>
        <w:ind w:firstLine="616" w:firstLineChars="200"/>
        <w:rPr>
          <w:rFonts w:hint="eastAsia" w:ascii="仿宋_GB2312" w:hAnsi="仿宋_GB2312" w:cs="仿宋_GB2312"/>
          <w:spacing w:val="-17"/>
          <w:szCs w:val="32"/>
        </w:rPr>
      </w:pPr>
      <w:r>
        <w:rPr>
          <w:rFonts w:hint="eastAsia" w:ascii="仿宋_GB2312" w:hAnsi="仿宋_GB2312" w:cs="仿宋_GB2312"/>
          <w:szCs w:val="32"/>
        </w:rPr>
        <w:t>B.</w:t>
      </w:r>
      <w:r>
        <w:rPr>
          <w:rFonts w:hint="eastAsia" w:ascii="仿宋_GB2312" w:hAnsi="仿宋_GB2312" w:cs="仿宋_GB2312"/>
          <w:spacing w:val="-17"/>
          <w:szCs w:val="32"/>
        </w:rPr>
        <w:t>建立质量管理体系，获得 ISO9001 等质量管理体系认证证书</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C.拥有自主品牌</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D.参与制修订标准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7.上年度净利润率（满分 10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A.10%以上（10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B.8%-10%（8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C.6%-8%（6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D.4%-6%（4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E.2%-4%（2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F.2%以下（0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8.上年度资产负债率（满分 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A.50%以下（5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B.50%-60%（3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C.60%-70%（1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D.70%以上（0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（三）特色化指标（满分 15 分）</w:t>
      </w:r>
    </w:p>
    <w:p>
      <w:pPr>
        <w:widowControl/>
        <w:adjustRightInd w:val="0"/>
        <w:snapToGrid w:val="0"/>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9.所属领域符合本市产业导向（满分4分）</w:t>
      </w:r>
    </w:p>
    <w:p>
      <w:pPr>
        <w:widowControl/>
        <w:adjustRightInd w:val="0"/>
        <w:snapToGrid w:val="0"/>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A.属于市级重点导向产业（4分）</w:t>
      </w:r>
    </w:p>
    <w:p>
      <w:pPr>
        <w:widowControl/>
        <w:adjustRightInd w:val="0"/>
        <w:snapToGrid w:val="0"/>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B.属于区级重点导向产业（2分）</w:t>
      </w:r>
    </w:p>
    <w:p>
      <w:pPr>
        <w:widowControl/>
        <w:adjustRightInd w:val="0"/>
        <w:snapToGrid w:val="0"/>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C.不属于以上情况（0分）</w:t>
      </w:r>
    </w:p>
    <w:p>
      <w:pPr>
        <w:widowControl/>
        <w:adjustRightInd w:val="0"/>
        <w:snapToGrid w:val="0"/>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10.细分市场领先地位（满分6分）</w:t>
      </w:r>
    </w:p>
    <w:p>
      <w:pPr>
        <w:widowControl/>
        <w:adjustRightInd w:val="0"/>
        <w:snapToGrid w:val="0"/>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A.国内细分市场占有率超过10%，或位居全国前三（6分）</w:t>
      </w:r>
    </w:p>
    <w:p>
      <w:pPr>
        <w:widowControl/>
        <w:adjustRightInd w:val="0"/>
        <w:snapToGrid w:val="0"/>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B.国内细分市场占有率位居全国前十或本市前五（5分）</w:t>
      </w:r>
    </w:p>
    <w:p>
      <w:pPr>
        <w:widowControl/>
        <w:adjustRightInd w:val="0"/>
        <w:snapToGrid w:val="0"/>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C.国内细分市场占有率位居本市前十（4分）</w:t>
      </w:r>
    </w:p>
    <w:p>
      <w:pPr>
        <w:widowControl/>
        <w:adjustRightInd w:val="0"/>
        <w:snapToGrid w:val="0"/>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D.不属于以上情况（0分）</w:t>
      </w:r>
    </w:p>
    <w:p>
      <w:pPr>
        <w:widowControl/>
        <w:adjustRightInd w:val="0"/>
        <w:snapToGrid w:val="0"/>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11.实施特色化经营（每满足一项加3分，最高不超过5分）</w:t>
      </w:r>
    </w:p>
    <w:p>
      <w:pPr>
        <w:widowControl/>
        <w:adjustRightInd w:val="0"/>
        <w:snapToGrid w:val="0"/>
        <w:spacing w:line="500" w:lineRule="exact"/>
        <w:ind w:firstLine="616" w:firstLineChars="200"/>
        <w:rPr>
          <w:rFonts w:hint="eastAsia" w:ascii="仿宋_GB2312" w:hAnsi="仿宋_GB2312" w:cs="仿宋_GB2312"/>
          <w:bCs/>
          <w:szCs w:val="32"/>
        </w:rPr>
      </w:pPr>
      <w:r>
        <w:rPr>
          <w:rFonts w:hint="eastAsia" w:ascii="仿宋_GB2312" w:hAnsi="仿宋_GB2312" w:cs="仿宋_GB2312"/>
          <w:bCs/>
          <w:szCs w:val="32"/>
        </w:rPr>
        <w:t>A.具有特色资源或技术进行研发生产，提供独具特色的产品或服务</w:t>
      </w:r>
    </w:p>
    <w:p>
      <w:pPr>
        <w:adjustRightInd w:val="0"/>
        <w:snapToGrid w:val="0"/>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B.实现绿色低碳发展，拥有绿色产品、绿色工厂称号，获得能源管理体系等认证</w:t>
      </w:r>
    </w:p>
    <w:p>
      <w:pPr>
        <w:widowControl/>
        <w:adjustRightInd w:val="0"/>
        <w:snapToGrid w:val="0"/>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C.企业或产品获得区级及以上技术创新、品牌、质量、人才等奖项、资金支持、称号认定，或市级及以上行业协会重大奖项和称号认定</w:t>
      </w:r>
    </w:p>
    <w:p>
      <w:pPr>
        <w:widowControl/>
        <w:adjustRightInd w:val="0"/>
        <w:snapToGrid w:val="0"/>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D.企业有改制上市计划，已完成股份制改制</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（四）创新能力指标（满分 35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12.与企业主导产品相关的有效知识产权数量（满分 10分）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A.Ⅰ类高价值知识产权1项以上（10分）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B.自主研发Ⅰ类知识产权1项以上（8分）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C.Ⅰ类知识产权1项以上（6分）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D.Ⅱ类知识产权1项以上（2分）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E.无（0分）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13.上年度研发费用投入（满分 10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A.研发费用总额 500 万元以上或研发费用总额占营业收入总额比重在 10%以上（10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B.研发费用总额 400-500 万元或研发费用总额占营业收入总额比重在 8%-10%（8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C.研发费用总额 300-400 万元或研发费用总额占营业收入总额比重在 6%-8%（6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D.研发费用总额 200-300 万元或研发费用总额占营业收入总额比重在 4%-6%（4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E.研发费用总额100-200万元或研发费用总额占营业收入总额比重在 3%-4%（2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F.不属于以上情况（0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14.上年度研发人员占比（满分 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A.20%以上（5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B.10%-20%（3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C.5%-10%（1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D.5%以下（0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15.建立研发机构级别（满分 10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A.国家级（10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B.省级（8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C.市级（4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D.市级以下（2 分）</w:t>
      </w:r>
    </w:p>
    <w:p>
      <w:pPr>
        <w:spacing w:line="500" w:lineRule="exact"/>
        <w:ind w:firstLine="616" w:firstLineChars="200"/>
        <w:rPr>
          <w:rFonts w:hint="eastAsia" w:ascii="仿宋_GB2312" w:hAnsi="仿宋_GB2312" w:cs="仿宋_GB2312"/>
          <w:szCs w:val="32"/>
        </w:rPr>
      </w:pPr>
      <w:r>
        <w:rPr>
          <w:rFonts w:hint="eastAsia" w:ascii="仿宋_GB2312" w:hAnsi="仿宋_GB2312" w:cs="仿宋_GB2312"/>
          <w:szCs w:val="32"/>
        </w:rPr>
        <w:t>E.未建立研发机构（0 分）</w:t>
      </w:r>
    </w:p>
    <w:p/>
    <w:p>
      <w:pPr>
        <w:spacing w:line="500" w:lineRule="exact"/>
        <w:rPr>
          <w:rFonts w:hint="eastAsia" w:ascii="黑体" w:hAnsi="黑体" w:eastAsia="黑体" w:cs="黑体"/>
          <w:szCs w:val="32"/>
          <w:lang w:val="en-US" w:eastAsia="zh-CN"/>
        </w:rPr>
      </w:pPr>
      <w:r>
        <w:rPr>
          <w:rFonts w:ascii="仿宋_GB2312"/>
          <w:sz w:val="30"/>
          <w:szCs w:val="30"/>
        </w:rPr>
        <w:br w:type="page"/>
      </w:r>
      <w:r>
        <w:rPr>
          <w:rFonts w:hint="eastAsia" w:ascii="黑体" w:hAnsi="黑体" w:eastAsia="黑体" w:cs="黑体"/>
          <w:szCs w:val="32"/>
        </w:rPr>
        <w:t>附件</w:t>
      </w:r>
      <w:r>
        <w:rPr>
          <w:rFonts w:hint="eastAsia" w:ascii="黑体" w:hAnsi="黑体" w:eastAsia="黑体" w:cs="黑体"/>
          <w:szCs w:val="32"/>
          <w:lang w:val="en-US" w:eastAsia="zh-CN"/>
        </w:rPr>
        <w:t>9</w:t>
      </w:r>
    </w:p>
    <w:p>
      <w:pPr>
        <w:adjustRightInd w:val="0"/>
        <w:snapToGrid w:val="0"/>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部分指标和要求说明</w:t>
      </w:r>
    </w:p>
    <w:p>
      <w:pPr>
        <w:pStyle w:val="3"/>
        <w:spacing w:after="0" w:line="500" w:lineRule="exact"/>
        <w:rPr>
          <w:rFonts w:hint="eastAsia"/>
        </w:rPr>
      </w:pP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（一）指标中如对期限无特殊说明，一般使用企业近 1 年的年度数据，具体定义为：指企业上一完整会计年度，以企业上一年度审计报告期末数为准。对于存在子公司或母公司的企业，按财政部印发的《企业会计准则》有关规定执行。</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（二）所称拥有自主品牌是指主营业务产品或服务具有自主知识产权，且符合下列条件之一：</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1.产品或服务品牌已经国家知识产权局商标局正式注册。</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2.产品或服务已经实现收入。</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（三）所称“Ⅰ类知识产权”包括发明专利（含国防专利）、植物新品种、国家级农作物品种、国家新药、国家一级中药保护品种、集成电路布图设计专有权（均不包含转让未满 1 年的知识产权）。</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（四）所称“Ⅰ类高价值知识产权”须符合以下条件之一：</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1.在海外有同族专利权的发明专利或在海外取得收入的其他Ⅰ类知识产权，其中专利限 G20 成员、新加坡以及欧洲专利局经实质审查后获得授权的发明专利。</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2.维持年限超过 10 年的Ⅰ类知识产权。</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3.实现较高质押融资金额的Ⅰ类知识产权。</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4.获得国家科学技术奖或中国专利奖的Ⅰ类知识产权。</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（五）所称“Ⅱ类知识产权”包括与主导产品相关的软件著作权（不含商标）、授权后维持超过 2 年的实用新型专利或外观设计专利（均不包含转让未满 1 年的知识产权）。</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（六）所称“企业数字化转型水平”是指在优质中小企业梯度培育平台完成数字化水平免费自测，具体自测网址、相关标准等事宜，另行明确。</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（八）所称“股权融资”是指公司股东稀释部分公司股权给投资人，以增资扩股（出让股权不超过 30%）的方式引进新的股东，从而取得公司融资的方式。</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（九）所称“合格机构投资者”是指符合《创业投资企业管理暂行办法》（发展改革委等 10 部门令第 39 号）或者《私募投资基金监督管理暂行办法》（证监会令第 105 号）相关规定，按照上述规定完成备案且规范运作的创业投资基金及私募股权投资基金。</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（十）所称“主导产品”是指企业核心技术在产品中发挥重要作用，且产品收入之和占企业同期营业收入比重超过 50%。</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（十一）所称“细分市场占有率情况”是指企业主导产品在细分市场的占有率情况，可通过企业自证或其他方式佐证。</w:t>
      </w:r>
    </w:p>
    <w:p>
      <w:pPr>
        <w:adjustRightInd w:val="0"/>
        <w:snapToGrid w:val="0"/>
        <w:spacing w:line="500" w:lineRule="exact"/>
        <w:ind w:firstLine="616" w:firstLineChars="200"/>
        <w:rPr>
          <w:rFonts w:hint="eastAsia" w:ascii="仿宋_GB2312" w:hAnsi="Calibri"/>
          <w:spacing w:val="-11"/>
          <w:szCs w:val="32"/>
        </w:rPr>
      </w:pPr>
      <w:r>
        <w:rPr>
          <w:rFonts w:hint="eastAsia" w:ascii="仿宋_GB2312" w:hAnsi="Calibri"/>
          <w:szCs w:val="32"/>
        </w:rPr>
        <w:t>（十二）</w:t>
      </w:r>
      <w:r>
        <w:rPr>
          <w:rFonts w:hint="eastAsia" w:ascii="仿宋_GB2312" w:hAnsi="Calibri"/>
          <w:spacing w:val="-11"/>
          <w:szCs w:val="32"/>
        </w:rPr>
        <w:t>所称“省级科技奖励”包括各省、自治区、直辖市科学技术奖的一、二、三等奖；“国家级科技奖励”包括国家科学技术进步奖、国家自然科学奖、国家技术发明奖，以及国防科技奖。</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（十三）如无特殊说明，所称“以上”、“以下”，包括本数；所称的“超过”，不包括本数。在计算评价指标得分时，如指标值位于两个评分区间边界上，按高分计算得分。</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（十四）本办法部分指标计算公式</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近 2 年主营业务收入平均增长率=（企业上一年度主营业务收入增长率+企业上上年度主营业务收入增长率）/2。</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企业上一年度主营业务收入增长率=（企业上一年度主营业务收入总额-企业上上年度主营业务收入总额）/企业上上年度主营业务收入总额*100%。其他年度主营业务收入增长率计算方法以此类推。</w:t>
      </w:r>
    </w:p>
    <w:p>
      <w:pPr>
        <w:adjustRightInd w:val="0"/>
        <w:snapToGrid w:val="0"/>
        <w:spacing w:line="500" w:lineRule="exact"/>
        <w:ind w:firstLine="616" w:firstLineChars="200"/>
        <w:rPr>
          <w:rFonts w:hint="eastAsia" w:ascii="仿宋_GB2312" w:hAnsi="Calibri"/>
          <w:szCs w:val="32"/>
        </w:rPr>
      </w:pPr>
      <w:r>
        <w:rPr>
          <w:rFonts w:hint="eastAsia" w:ascii="仿宋_GB2312" w:hAnsi="Calibri"/>
          <w:szCs w:val="32"/>
        </w:rPr>
        <w:t>（十五）所称“被列入经营异常名录”以国家企业信用信息公示系统（http://www.gsxt.gov.cn）查询结果为准；所称“严重失信主体名单”以信用中国（http://www.creditchina.gov.cn）查询结果为准。</w:t>
      </w:r>
    </w:p>
    <w:p>
      <w:r>
        <w:rPr>
          <w:rFonts w:hint="eastAsia" w:ascii="仿宋_GB2312" w:hAnsi="Calibri"/>
          <w:szCs w:val="32"/>
        </w:rPr>
        <w:t>（十六）所称“创客中国”中小企业创新创业大赛全国 500强、50 强企业组名单是指该大赛 2021 年以来正式发布的名单。</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F87D5"/>
    <w:rsid w:val="9B76CE76"/>
    <w:rsid w:val="9D3BB10E"/>
    <w:rsid w:val="FF7F87D5"/>
    <w:rsid w:val="FFBA1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PlainText"/>
    <w:basedOn w:val="1"/>
    <w:semiHidden/>
    <w:qFormat/>
    <w:uiPriority w:val="0"/>
    <w:pPr>
      <w:jc w:val="both"/>
      <w:textAlignment w:val="baseline"/>
    </w:pPr>
    <w:rPr>
      <w:rFonts w:ascii="宋体" w:hAnsi="Courier New"/>
      <w:kern w:val="2"/>
      <w:sz w:val="21"/>
      <w:szCs w:val="21"/>
      <w:lang w:val="en-US" w:eastAsia="zh-CN" w:bidi="ar-SA"/>
    </w:rPr>
  </w:style>
  <w:style w:type="paragraph" w:styleId="3">
    <w:name w:val="Body Text"/>
    <w:basedOn w:val="1"/>
    <w:next w:val="4"/>
    <w:qFormat/>
    <w:uiPriority w:val="0"/>
    <w:pPr>
      <w:spacing w:before="0" w:after="140" w:line="276" w:lineRule="auto"/>
    </w:pPr>
    <w:rPr>
      <w:rFonts w:ascii="Calibri" w:hAnsi="Calibri" w:eastAsia="宋体" w:cs="宋体"/>
      <w:spacing w:val="0"/>
      <w:sz w:val="21"/>
      <w:szCs w:val="24"/>
    </w:rPr>
  </w:style>
  <w:style w:type="paragraph" w:styleId="4">
    <w:name w:val="Title"/>
    <w:basedOn w:val="1"/>
    <w:next w:val="1"/>
    <w:qFormat/>
    <w:uiPriority w:val="0"/>
    <w:pPr>
      <w:spacing w:line="240" w:lineRule="auto"/>
      <w:jc w:val="center"/>
      <w:outlineLvl w:val="0"/>
    </w:pPr>
    <w:rPr>
      <w:rFonts w:ascii="方正小标宋_GBK" w:hAnsi="方正小标宋_GBK" w:eastAsia="方正小标宋_GBK" w:cs="方正小标宋_GBK"/>
      <w:spacing w:val="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2025-01-13T17:47:00Z</dcterms:created>
  <dc:creator>lenovo</dc:creator>
  <cp:lastModifiedBy>lenovo</cp:lastModifiedBy>
  <dcterms:modified xsi:type="dcterms:W3CDTF">2025-01-13T09:54:39Z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