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60" w:lineRule="exact"/>
        <w:jc w:val="left"/>
        <w:rPr>
          <w:rFonts w:hint="eastAsia" w:ascii="仿宋_GB2312" w:eastAsia="仿宋_GB2312"/>
          <w:sz w:val="32"/>
          <w:szCs w:val="32"/>
        </w:rPr>
      </w:pPr>
      <w:bookmarkStart w:id="0" w:name="_GoBack"/>
      <w:bookmarkEnd w:id="0"/>
      <w:r>
        <w:rPr>
          <w:rFonts w:hint="eastAsia" w:ascii="黑体" w:eastAsia="黑体"/>
          <w:sz w:val="32"/>
          <w:szCs w:val="32"/>
        </w:rPr>
        <w:t>附件</w:t>
      </w:r>
    </w:p>
    <w:p>
      <w:pPr>
        <w:adjustRightInd w:val="0"/>
        <w:snapToGrid w:val="0"/>
        <w:spacing w:line="560" w:lineRule="exact"/>
        <w:jc w:val="center"/>
        <w:rPr>
          <w:rFonts w:hint="eastAsia" w:ascii="华文中宋" w:hAnsi="华文中宋" w:eastAsia="华文中宋"/>
          <w:sz w:val="40"/>
          <w:szCs w:val="40"/>
        </w:rPr>
      </w:pPr>
      <w:r>
        <w:rPr>
          <w:rFonts w:hint="eastAsia" w:ascii="华文中宋" w:hAnsi="华文中宋" w:eastAsia="华文中宋"/>
          <w:sz w:val="40"/>
          <w:szCs w:val="40"/>
          <w:lang w:eastAsia="zh-CN"/>
        </w:rPr>
        <w:t>普陀</w:t>
      </w:r>
      <w:r>
        <w:rPr>
          <w:rFonts w:hint="eastAsia" w:ascii="华文中宋" w:hAnsi="华文中宋" w:eastAsia="华文中宋"/>
          <w:sz w:val="40"/>
          <w:szCs w:val="40"/>
        </w:rPr>
        <w:t>区</w:t>
      </w:r>
      <w:r>
        <w:rPr>
          <w:rFonts w:hint="eastAsia" w:ascii="华文中宋" w:hAnsi="华文中宋" w:eastAsia="华文中宋"/>
          <w:sz w:val="40"/>
          <w:szCs w:val="40"/>
          <w:lang w:eastAsia="zh-CN"/>
        </w:rPr>
        <w:t>发展和改革委员会</w:t>
      </w:r>
      <w:r>
        <w:rPr>
          <w:rFonts w:hint="eastAsia" w:ascii="华文中宋" w:hAnsi="华文中宋" w:eastAsia="华文中宋"/>
          <w:sz w:val="40"/>
          <w:szCs w:val="40"/>
        </w:rPr>
        <w:t>行政审批办事指南目录</w:t>
      </w:r>
    </w:p>
    <w:p>
      <w:pPr>
        <w:adjustRightInd w:val="0"/>
        <w:snapToGrid w:val="0"/>
        <w:spacing w:line="560" w:lineRule="exact"/>
        <w:jc w:val="center"/>
        <w:rPr>
          <w:rFonts w:hint="eastAsia" w:ascii="仿宋_GB2312" w:eastAsia="仿宋_GB2312"/>
          <w:sz w:val="32"/>
          <w:szCs w:val="32"/>
        </w:rPr>
      </w:pPr>
    </w:p>
    <w:tbl>
      <w:tblPr>
        <w:tblStyle w:val="6"/>
        <w:tblW w:w="14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4666"/>
        <w:gridCol w:w="3034"/>
        <w:gridCol w:w="2783"/>
        <w:gridCol w:w="2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trPr>
        <w:tc>
          <w:tcPr>
            <w:tcW w:w="896" w:type="dxa"/>
            <w:vAlign w:val="center"/>
          </w:tcPr>
          <w:p>
            <w:pPr>
              <w:adjustRightInd w:val="0"/>
              <w:snapToGrid w:val="0"/>
              <w:jc w:val="center"/>
              <w:rPr>
                <w:rFonts w:hint="eastAsia" w:ascii="黑体" w:hAnsi="Times New Roman" w:eastAsia="黑体"/>
                <w:sz w:val="32"/>
                <w:szCs w:val="32"/>
              </w:rPr>
            </w:pPr>
            <w:r>
              <w:rPr>
                <w:rFonts w:hint="eastAsia" w:ascii="黑体" w:hAnsi="Times New Roman" w:eastAsia="黑体"/>
                <w:sz w:val="32"/>
                <w:szCs w:val="32"/>
              </w:rPr>
              <w:t>序号</w:t>
            </w:r>
          </w:p>
        </w:tc>
        <w:tc>
          <w:tcPr>
            <w:tcW w:w="4666" w:type="dxa"/>
            <w:vAlign w:val="center"/>
          </w:tcPr>
          <w:p>
            <w:pPr>
              <w:adjustRightInd w:val="0"/>
              <w:snapToGrid w:val="0"/>
              <w:jc w:val="center"/>
              <w:rPr>
                <w:rFonts w:hint="eastAsia" w:ascii="黑体" w:hAnsi="Times New Roman" w:eastAsia="黑体"/>
                <w:sz w:val="32"/>
                <w:szCs w:val="32"/>
              </w:rPr>
            </w:pPr>
            <w:r>
              <w:rPr>
                <w:rFonts w:hint="eastAsia" w:ascii="黑体" w:hAnsi="Times New Roman" w:eastAsia="黑体"/>
                <w:sz w:val="32"/>
                <w:szCs w:val="32"/>
              </w:rPr>
              <w:t>办事指南名称</w:t>
            </w:r>
          </w:p>
        </w:tc>
        <w:tc>
          <w:tcPr>
            <w:tcW w:w="3034" w:type="dxa"/>
            <w:vAlign w:val="center"/>
          </w:tcPr>
          <w:p>
            <w:pPr>
              <w:adjustRightInd w:val="0"/>
              <w:snapToGrid w:val="0"/>
              <w:jc w:val="center"/>
              <w:rPr>
                <w:rFonts w:hint="eastAsia" w:ascii="黑体" w:hAnsi="Times New Roman" w:eastAsia="黑体"/>
                <w:sz w:val="32"/>
                <w:szCs w:val="32"/>
              </w:rPr>
            </w:pPr>
            <w:r>
              <w:rPr>
                <w:rFonts w:hint="eastAsia" w:ascii="黑体" w:hAnsi="Times New Roman" w:eastAsia="黑体"/>
                <w:sz w:val="32"/>
                <w:szCs w:val="32"/>
              </w:rPr>
              <w:t>办事指南编号</w:t>
            </w:r>
          </w:p>
        </w:tc>
        <w:tc>
          <w:tcPr>
            <w:tcW w:w="2783" w:type="dxa"/>
            <w:vAlign w:val="center"/>
          </w:tcPr>
          <w:p>
            <w:pPr>
              <w:adjustRightInd w:val="0"/>
              <w:snapToGrid w:val="0"/>
              <w:jc w:val="center"/>
              <w:rPr>
                <w:rFonts w:hint="eastAsia" w:ascii="黑体" w:hAnsi="Times New Roman" w:eastAsia="黑体"/>
                <w:sz w:val="32"/>
                <w:szCs w:val="32"/>
              </w:rPr>
            </w:pPr>
            <w:r>
              <w:rPr>
                <w:rFonts w:hint="eastAsia" w:ascii="黑体" w:hAnsi="Times New Roman" w:eastAsia="黑体"/>
                <w:sz w:val="32"/>
                <w:szCs w:val="32"/>
              </w:rPr>
              <w:t>发布日期</w:t>
            </w:r>
          </w:p>
        </w:tc>
        <w:tc>
          <w:tcPr>
            <w:tcW w:w="2900" w:type="dxa"/>
            <w:vAlign w:val="center"/>
          </w:tcPr>
          <w:p>
            <w:pPr>
              <w:adjustRightInd w:val="0"/>
              <w:snapToGrid w:val="0"/>
              <w:jc w:val="center"/>
              <w:rPr>
                <w:rFonts w:hint="eastAsia" w:ascii="黑体" w:hAnsi="Times New Roman" w:eastAsia="黑体"/>
                <w:sz w:val="32"/>
                <w:szCs w:val="32"/>
              </w:rPr>
            </w:pPr>
            <w:r>
              <w:rPr>
                <w:rFonts w:hint="eastAsia" w:ascii="黑体" w:hAnsi="Times New Roman" w:eastAsia="黑体"/>
                <w:sz w:val="32"/>
                <w:szCs w:val="32"/>
              </w:rPr>
              <w:t>实施日期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1</w:t>
            </w:r>
          </w:p>
        </w:tc>
        <w:tc>
          <w:tcPr>
            <w:tcW w:w="4666" w:type="dxa"/>
            <w:vAlign w:val="center"/>
          </w:tcPr>
          <w:p>
            <w:pPr>
              <w:adjustRightInd w:val="0"/>
              <w:snapToGrid w:val="0"/>
              <w:jc w:val="left"/>
              <w:rPr>
                <w:rFonts w:hint="eastAsia" w:ascii="仿宋_GB2312" w:hAnsi="Times New Roman" w:eastAsia="仿宋_GB2312"/>
                <w:color w:val="auto"/>
                <w:sz w:val="32"/>
                <w:szCs w:val="32"/>
              </w:rPr>
            </w:pP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使用政府性资金投资建设的固定资产投资项目项目建议书的审批（含初审）</w:t>
            </w:r>
            <w:r>
              <w:rPr>
                <w:rFonts w:hint="eastAsia" w:ascii="仿宋_GB2312" w:eastAsia="仿宋_GB2312"/>
                <w:color w:val="auto"/>
                <w:sz w:val="32"/>
                <w:szCs w:val="32"/>
              </w:rPr>
              <w:t>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5001</w:t>
            </w:r>
            <w:r>
              <w:rPr>
                <w:rFonts w:hint="eastAsia" w:ascii="仿宋_GB2312" w:eastAsia="仿宋_GB2312"/>
                <w:sz w:val="32"/>
                <w:szCs w:val="32"/>
              </w:rPr>
              <w:t>-2015/0</w:t>
            </w:r>
            <w:r>
              <w:rPr>
                <w:rFonts w:hint="eastAsia" w:ascii="仿宋_GB2312" w:eastAsia="仿宋_GB2312"/>
                <w:sz w:val="32"/>
                <w:szCs w:val="32"/>
                <w:lang w:val="en-US" w:eastAsia="zh-CN"/>
              </w:rPr>
              <w:t>1</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7" w:hRule="atLeast"/>
        </w:trPr>
        <w:tc>
          <w:tcPr>
            <w:tcW w:w="896"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w:t>
            </w:r>
          </w:p>
        </w:tc>
        <w:tc>
          <w:tcPr>
            <w:tcW w:w="4666" w:type="dxa"/>
            <w:vAlign w:val="center"/>
          </w:tcPr>
          <w:p>
            <w:pPr>
              <w:adjustRightInd w:val="0"/>
              <w:snapToGrid w:val="0"/>
              <w:jc w:val="both"/>
              <w:rPr>
                <w:rFonts w:hint="eastAsia" w:ascii="仿宋_GB2312" w:hAnsi="Times New Roman" w:eastAsia="仿宋_GB2312"/>
                <w:color w:val="auto"/>
                <w:sz w:val="32"/>
                <w:szCs w:val="32"/>
              </w:rPr>
            </w:pP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使用政府性资金投资建设的固定资产投资项目可行性研究报告的审批（含初审）</w:t>
            </w:r>
            <w:r>
              <w:rPr>
                <w:rFonts w:hint="eastAsia" w:ascii="仿宋_GB2312" w:eastAsia="仿宋_GB2312"/>
                <w:color w:val="auto"/>
                <w:sz w:val="32"/>
                <w:szCs w:val="32"/>
              </w:rPr>
              <w:t>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5002</w:t>
            </w:r>
            <w:r>
              <w:rPr>
                <w:rFonts w:hint="eastAsia" w:ascii="仿宋_GB2312" w:eastAsia="仿宋_GB2312"/>
                <w:sz w:val="32"/>
                <w:szCs w:val="32"/>
              </w:rPr>
              <w:t>-2015/0</w:t>
            </w:r>
            <w:r>
              <w:rPr>
                <w:rFonts w:hint="eastAsia" w:ascii="仿宋_GB2312" w:eastAsia="仿宋_GB2312"/>
                <w:sz w:val="32"/>
                <w:szCs w:val="32"/>
                <w:lang w:val="en-US" w:eastAsia="zh-CN"/>
              </w:rPr>
              <w:t>1</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3</w:t>
            </w:r>
          </w:p>
        </w:tc>
        <w:tc>
          <w:tcPr>
            <w:tcW w:w="46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Times New Roman" w:eastAsia="仿宋_GB2312"/>
                <w:color w:val="auto"/>
                <w:sz w:val="32"/>
                <w:szCs w:val="32"/>
              </w:rPr>
            </w:pP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使用政府性资金投资建设的固定资产投资项目概算的审批</w:t>
            </w:r>
            <w:r>
              <w:rPr>
                <w:rFonts w:hint="eastAsia" w:ascii="仿宋_GB2312" w:hAnsi="仿宋_GB2312" w:eastAsia="仿宋_GB2312" w:cs="仿宋_GB2312"/>
                <w:color w:val="auto"/>
                <w:sz w:val="32"/>
                <w:szCs w:val="32"/>
                <w:lang w:eastAsia="zh-CN"/>
              </w:rPr>
              <w:t>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5003</w:t>
            </w:r>
            <w:r>
              <w:rPr>
                <w:rFonts w:hint="eastAsia" w:ascii="仿宋_GB2312" w:eastAsia="仿宋_GB2312"/>
                <w:sz w:val="32"/>
                <w:szCs w:val="32"/>
              </w:rPr>
              <w:t>-2015/0</w:t>
            </w:r>
            <w:r>
              <w:rPr>
                <w:rFonts w:hint="eastAsia" w:ascii="仿宋_GB2312" w:eastAsia="仿宋_GB2312"/>
                <w:sz w:val="32"/>
                <w:szCs w:val="32"/>
                <w:lang w:val="en-US" w:eastAsia="zh-CN"/>
              </w:rPr>
              <w:t>1</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4</w:t>
            </w:r>
          </w:p>
        </w:tc>
        <w:tc>
          <w:tcPr>
            <w:tcW w:w="4666" w:type="dxa"/>
            <w:vAlign w:val="center"/>
          </w:tcPr>
          <w:p>
            <w:pPr>
              <w:pStyle w:val="7"/>
              <w:keepNext w:val="0"/>
              <w:keepLines w:val="0"/>
              <w:pageBreakBefore w:val="0"/>
              <w:widowControl/>
              <w:tabs>
                <w:tab w:val="clear" w:pos="4201"/>
                <w:tab w:val="clear" w:pos="9298"/>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Times New Roman" w:eastAsia="仿宋_GB2312"/>
                <w:color w:val="auto"/>
                <w:sz w:val="32"/>
                <w:szCs w:val="32"/>
              </w:rPr>
            </w:pP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企业投资项目的核准</w:t>
            </w:r>
            <w:r>
              <w:rPr>
                <w:rFonts w:hint="eastAsia" w:ascii="仿宋_GB2312" w:hAnsi="仿宋_GB2312" w:eastAsia="仿宋_GB2312" w:cs="仿宋_GB2312"/>
                <w:color w:val="auto"/>
                <w:sz w:val="32"/>
                <w:szCs w:val="32"/>
                <w:lang w:eastAsia="zh-CN"/>
              </w:rPr>
              <w:t>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5005</w:t>
            </w:r>
            <w:r>
              <w:rPr>
                <w:rFonts w:hint="eastAsia" w:ascii="仿宋_GB2312" w:eastAsia="仿宋_GB2312"/>
                <w:sz w:val="32"/>
                <w:szCs w:val="32"/>
              </w:rPr>
              <w:t>-2015/0</w:t>
            </w:r>
            <w:r>
              <w:rPr>
                <w:rFonts w:hint="eastAsia" w:ascii="仿宋_GB2312" w:eastAsia="仿宋_GB2312"/>
                <w:sz w:val="32"/>
                <w:szCs w:val="32"/>
                <w:lang w:val="en-US" w:eastAsia="zh-CN"/>
              </w:rPr>
              <w:t>1</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5</w:t>
            </w:r>
          </w:p>
        </w:tc>
        <w:tc>
          <w:tcPr>
            <w:tcW w:w="4666" w:type="dxa"/>
            <w:vAlign w:val="center"/>
          </w:tcPr>
          <w:p>
            <w:pPr>
              <w:adjustRightInd w:val="0"/>
              <w:snapToGrid w:val="0"/>
              <w:jc w:val="left"/>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外商投资业投资项目的核准或备案办事指南</w:t>
            </w:r>
          </w:p>
        </w:tc>
        <w:tc>
          <w:tcPr>
            <w:tcW w:w="3034" w:type="dxa"/>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5006</w:t>
            </w:r>
            <w:r>
              <w:rPr>
                <w:rFonts w:hint="eastAsia" w:ascii="仿宋_GB2312" w:eastAsia="仿宋_GB2312"/>
                <w:sz w:val="32"/>
                <w:szCs w:val="32"/>
              </w:rPr>
              <w:t>-2015/0</w:t>
            </w:r>
            <w:r>
              <w:rPr>
                <w:rFonts w:hint="eastAsia" w:ascii="仿宋_GB2312" w:eastAsia="仿宋_GB2312"/>
                <w:sz w:val="32"/>
                <w:szCs w:val="32"/>
                <w:lang w:val="en-US" w:eastAsia="zh-CN"/>
              </w:rPr>
              <w:t>1</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6</w:t>
            </w:r>
          </w:p>
        </w:tc>
        <w:tc>
          <w:tcPr>
            <w:tcW w:w="4666" w:type="dxa"/>
            <w:vAlign w:val="center"/>
          </w:tcPr>
          <w:p>
            <w:pPr>
              <w:adjustRightInd w:val="0"/>
              <w:snapToGrid w:val="0"/>
              <w:jc w:val="left"/>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企业投资项目备案办事指南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5007</w:t>
            </w:r>
            <w:r>
              <w:rPr>
                <w:rFonts w:hint="eastAsia" w:ascii="仿宋_GB2312" w:eastAsia="仿宋_GB2312"/>
                <w:sz w:val="32"/>
                <w:szCs w:val="32"/>
              </w:rPr>
              <w:t>-2015/0</w:t>
            </w:r>
            <w:r>
              <w:rPr>
                <w:rFonts w:hint="eastAsia" w:ascii="仿宋_GB2312" w:eastAsia="仿宋_GB2312"/>
                <w:sz w:val="32"/>
                <w:szCs w:val="32"/>
                <w:lang w:val="en-US" w:eastAsia="zh-CN"/>
              </w:rPr>
              <w:t>1</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7</w:t>
            </w:r>
          </w:p>
        </w:tc>
        <w:tc>
          <w:tcPr>
            <w:tcW w:w="4666" w:type="dxa"/>
            <w:vAlign w:val="center"/>
          </w:tcPr>
          <w:p>
            <w:pPr>
              <w:adjustRightInd w:val="0"/>
              <w:snapToGrid w:val="0"/>
              <w:jc w:val="left"/>
              <w:rPr>
                <w:rFonts w:hint="eastAsia" w:ascii="仿宋_GB2312" w:hAnsi="仿宋_GB2312" w:eastAsia="仿宋_GB2312" w:cs="仿宋_GB2312"/>
                <w:i w:val="0"/>
                <w:iCs w:val="0"/>
                <w:color w:val="auto"/>
                <w:sz w:val="32"/>
                <w:szCs w:val="32"/>
                <w:shd w:val="clear" w:color="auto" w:fill="FFFFFF"/>
                <w:lang w:eastAsia="zh-CN"/>
              </w:rPr>
            </w:pPr>
            <w:r>
              <w:rPr>
                <w:rFonts w:hint="eastAsia" w:ascii="仿宋_GB2312" w:hAnsi="仿宋_GB2312" w:eastAsia="仿宋_GB2312" w:cs="仿宋_GB2312"/>
                <w:i w:val="0"/>
                <w:iCs w:val="0"/>
                <w:color w:val="auto"/>
                <w:sz w:val="32"/>
                <w:szCs w:val="32"/>
                <w:shd w:val="clear" w:color="auto" w:fill="FFFFFF"/>
                <w:lang w:eastAsia="zh-CN"/>
              </w:rPr>
              <w:t>授权区的政府定价和政府指导价的制定办事指南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5010</w:t>
            </w:r>
            <w:r>
              <w:rPr>
                <w:rFonts w:hint="eastAsia" w:ascii="仿宋_GB2312" w:eastAsia="仿宋_GB2312"/>
                <w:sz w:val="32"/>
                <w:szCs w:val="32"/>
              </w:rPr>
              <w:t>-2015/0</w:t>
            </w:r>
            <w:r>
              <w:rPr>
                <w:rFonts w:hint="eastAsia" w:ascii="仿宋_GB2312" w:eastAsia="仿宋_GB2312"/>
                <w:sz w:val="32"/>
                <w:szCs w:val="32"/>
                <w:lang w:val="en-US" w:eastAsia="zh-CN"/>
              </w:rPr>
              <w:t>0</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8</w:t>
            </w:r>
          </w:p>
        </w:tc>
        <w:tc>
          <w:tcPr>
            <w:tcW w:w="4666" w:type="dxa"/>
            <w:vAlign w:val="center"/>
          </w:tcPr>
          <w:p>
            <w:pPr>
              <w:adjustRightInd w:val="0"/>
              <w:snapToGrid w:val="0"/>
              <w:jc w:val="left"/>
              <w:rPr>
                <w:rFonts w:hint="eastAsia" w:ascii="仿宋_GB2312" w:hAnsi="仿宋_GB2312" w:eastAsia="仿宋_GB2312" w:cs="仿宋_GB2312"/>
                <w:i w:val="0"/>
                <w:iCs w:val="0"/>
                <w:color w:val="auto"/>
                <w:sz w:val="32"/>
                <w:szCs w:val="32"/>
                <w:shd w:val="clear" w:color="auto" w:fill="FFFFFF"/>
                <w:lang w:eastAsia="zh-CN"/>
              </w:rPr>
            </w:pPr>
            <w:r>
              <w:rPr>
                <w:rFonts w:hint="eastAsia" w:ascii="仿宋_GB2312" w:hAnsi="仿宋_GB2312" w:eastAsia="仿宋_GB2312" w:cs="仿宋_GB2312"/>
                <w:i w:val="0"/>
                <w:iCs w:val="0"/>
                <w:color w:val="auto"/>
                <w:sz w:val="32"/>
                <w:szCs w:val="32"/>
                <w:shd w:val="clear" w:color="auto" w:fill="FFFFFF"/>
                <w:lang w:val="en-US" w:eastAsia="zh-CN"/>
              </w:rPr>
              <w:t>对中央政府和市政府专项资金使用的初审转报（服务业发展引导资金等）办事指南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5011</w:t>
            </w:r>
            <w:r>
              <w:rPr>
                <w:rFonts w:hint="eastAsia" w:ascii="仿宋_GB2312" w:eastAsia="仿宋_GB2312"/>
                <w:sz w:val="32"/>
                <w:szCs w:val="32"/>
              </w:rPr>
              <w:t>-2015/0</w:t>
            </w:r>
            <w:r>
              <w:rPr>
                <w:rFonts w:hint="eastAsia" w:ascii="仿宋_GB2312" w:eastAsia="仿宋_GB2312"/>
                <w:sz w:val="32"/>
                <w:szCs w:val="32"/>
                <w:lang w:val="en-US" w:eastAsia="zh-CN"/>
              </w:rPr>
              <w:t>0</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9</w:t>
            </w:r>
          </w:p>
        </w:tc>
        <w:tc>
          <w:tcPr>
            <w:tcW w:w="4666" w:type="dxa"/>
            <w:vAlign w:val="center"/>
          </w:tcPr>
          <w:p>
            <w:pPr>
              <w:adjustRightInd w:val="0"/>
              <w:snapToGrid w:val="0"/>
              <w:jc w:val="left"/>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固定资产投资项目节能评估办事指南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5012</w:t>
            </w:r>
            <w:r>
              <w:rPr>
                <w:rFonts w:hint="eastAsia" w:ascii="仿宋_GB2312" w:eastAsia="仿宋_GB2312"/>
                <w:sz w:val="32"/>
                <w:szCs w:val="32"/>
              </w:rPr>
              <w:t>-2015/0</w:t>
            </w:r>
            <w:r>
              <w:rPr>
                <w:rFonts w:hint="eastAsia" w:ascii="仿宋_GB2312" w:eastAsia="仿宋_GB2312"/>
                <w:sz w:val="32"/>
                <w:szCs w:val="32"/>
                <w:lang w:val="en-US" w:eastAsia="zh-CN"/>
              </w:rPr>
              <w:t>1</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10</w:t>
            </w:r>
          </w:p>
        </w:tc>
        <w:tc>
          <w:tcPr>
            <w:tcW w:w="4666" w:type="dxa"/>
            <w:vAlign w:val="center"/>
          </w:tcPr>
          <w:p>
            <w:pPr>
              <w:adjustRightInd w:val="0"/>
              <w:snapToGrid w:val="0"/>
              <w:jc w:val="left"/>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对中央预算内投资补助和贴息项目资金申请报告的初审转报</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5013</w:t>
            </w:r>
            <w:r>
              <w:rPr>
                <w:rFonts w:hint="eastAsia" w:ascii="仿宋_GB2312" w:eastAsia="仿宋_GB2312"/>
                <w:sz w:val="32"/>
                <w:szCs w:val="32"/>
              </w:rPr>
              <w:t>-2015/0</w:t>
            </w:r>
            <w:r>
              <w:rPr>
                <w:rFonts w:hint="eastAsia" w:ascii="仿宋_GB2312" w:eastAsia="仿宋_GB2312"/>
                <w:sz w:val="32"/>
                <w:szCs w:val="32"/>
                <w:lang w:val="en-US" w:eastAsia="zh-CN"/>
              </w:rPr>
              <w:t>0</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5" w:hRule="atLeast"/>
        </w:trPr>
        <w:tc>
          <w:tcPr>
            <w:tcW w:w="896" w:type="dxa"/>
            <w:vAlign w:val="center"/>
          </w:tcPr>
          <w:p>
            <w:pPr>
              <w:adjustRightInd w:val="0"/>
              <w:snapToGrid w:val="0"/>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11</w:t>
            </w:r>
          </w:p>
        </w:tc>
        <w:tc>
          <w:tcPr>
            <w:tcW w:w="4666" w:type="dxa"/>
            <w:vAlign w:val="center"/>
          </w:tcPr>
          <w:p>
            <w:pPr>
              <w:adjustRightInd w:val="0"/>
              <w:snapToGrid w:val="0"/>
              <w:jc w:val="left"/>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地方统计调查项目审批办事指南</w:t>
            </w:r>
          </w:p>
        </w:tc>
        <w:tc>
          <w:tcPr>
            <w:tcW w:w="3034"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BSZN-</w:t>
            </w:r>
            <w:r>
              <w:rPr>
                <w:rFonts w:hint="eastAsia" w:ascii="仿宋_GB2312" w:hAnsi="Times New Roman" w:eastAsia="仿宋_GB2312"/>
                <w:sz w:val="32"/>
                <w:szCs w:val="32"/>
                <w:lang w:val="en-US" w:eastAsia="zh-CN"/>
              </w:rPr>
              <w:t>5478</w:t>
            </w:r>
            <w:r>
              <w:rPr>
                <w:rFonts w:hint="eastAsia" w:ascii="仿宋_GB2312" w:eastAsia="仿宋_GB2312"/>
                <w:sz w:val="32"/>
                <w:szCs w:val="32"/>
              </w:rPr>
              <w:t>-2015/0</w:t>
            </w:r>
            <w:r>
              <w:rPr>
                <w:rFonts w:hint="eastAsia" w:ascii="仿宋_GB2312" w:eastAsia="仿宋_GB2312"/>
                <w:sz w:val="32"/>
                <w:szCs w:val="32"/>
                <w:lang w:val="en-US" w:eastAsia="zh-CN"/>
              </w:rPr>
              <w:t>0</w:t>
            </w:r>
          </w:p>
        </w:tc>
        <w:tc>
          <w:tcPr>
            <w:tcW w:w="2783"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日</w:t>
            </w:r>
          </w:p>
        </w:tc>
        <w:tc>
          <w:tcPr>
            <w:tcW w:w="2900" w:type="dxa"/>
            <w:vAlign w:val="center"/>
          </w:tcPr>
          <w:p>
            <w:pPr>
              <w:adjustRightInd w:val="0"/>
              <w:snapToGrid w:val="0"/>
              <w:jc w:val="center"/>
              <w:rPr>
                <w:rFonts w:hint="eastAsia" w:ascii="仿宋_GB2312" w:hAnsi="Times New Roman" w:eastAsia="仿宋_GB2312"/>
                <w:sz w:val="32"/>
                <w:szCs w:val="32"/>
              </w:rPr>
            </w:pPr>
            <w:r>
              <w:rPr>
                <w:rFonts w:hint="eastAsia" w:ascii="仿宋_GB2312" w:hAnsi="Times New Roman" w:eastAsia="仿宋_GB2312"/>
                <w:sz w:val="32"/>
                <w:szCs w:val="32"/>
              </w:rPr>
              <w:t>2015年</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w:t>
            </w:r>
          </w:p>
        </w:tc>
      </w:tr>
    </w:tbl>
    <w:p>
      <w:pPr/>
    </w:p>
    <w:sectPr>
      <w:headerReference r:id="rId3" w:type="default"/>
      <w:footerReference r:id="rId4" w:type="default"/>
      <w:pgSz w:w="16838" w:h="11906" w:orient="landscape"/>
      <w:pgMar w:top="1803" w:right="1440" w:bottom="1803" w:left="1440" w:header="851" w:footer="992" w:gutter="0"/>
      <w:pgNumType w:fmt="decimal" w:start="3"/>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20202"/>
    <w:rsid w:val="2CCB6E1C"/>
    <w:rsid w:val="4FC202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要求"/>
    <w:qFormat/>
    <w:uiPriority w:val="0"/>
    <w:pPr>
      <w:tabs>
        <w:tab w:val="center" w:pos="4201"/>
        <w:tab w:val="right" w:leader="dot" w:pos="9298"/>
      </w:tabs>
      <w:adjustRightInd w:val="0"/>
      <w:snapToGrid w:val="0"/>
      <w:ind w:left="200" w:leftChars="200" w:firstLine="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2015-12-03T03:12:00Z</dcterms:created>
  <dc:creator>zhouj</dc:creator>
  <cp:lastModifiedBy>zhouj</cp:lastModifiedBy>
  <dcterms:modified xsi:type="dcterms:W3CDTF">2015-12-04T01:05:08Z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