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公文小标宋" w:hAnsi="方正公文小标宋" w:eastAsia="方正公文小标宋" w:cs="方正公文小标宋"/>
          <w:color w:val="auto"/>
          <w:kern w:val="2"/>
          <w:sz w:val="36"/>
          <w:szCs w:val="36"/>
          <w:lang w:val="en-US" w:eastAsia="zh-CN" w:bidi="ar-SA"/>
        </w:rPr>
      </w:pPr>
      <w:bookmarkStart w:id="0" w:name="_GoBack"/>
      <w:r>
        <w:rPr>
          <w:rFonts w:hint="eastAsia" w:ascii="方正公文小标宋" w:hAnsi="方正公文小标宋" w:eastAsia="方正公文小标宋" w:cs="方正公文小标宋"/>
          <w:color w:val="auto"/>
          <w:kern w:val="2"/>
          <w:sz w:val="36"/>
          <w:szCs w:val="36"/>
          <w:lang w:val="en-US" w:eastAsia="zh-CN" w:bidi="ar-SA"/>
        </w:rPr>
        <w:t>普陀区加快推动数据发展和数字城市建设实施意见</w:t>
      </w:r>
      <w:bookmarkEnd w:id="0"/>
    </w:p>
    <w:p>
      <w:pPr>
        <w:pStyle w:val="2"/>
        <w:ind w:left="0" w:leftChars="0" w:firstLine="0" w:firstLineChars="0"/>
        <w:jc w:val="center"/>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（征求意见稿）</w:t>
      </w:r>
    </w:p>
    <w:p>
      <w:pPr>
        <w:spacing w:line="540" w:lineRule="exact"/>
        <w:ind w:firstLine="640"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为深入贯彻落实党中央、国务院关于数字中国建设的决策部署和《关于深化智慧城市发展推进城市全域数字化转型的指导意见》《关于全面推进上海城市数字化转型的意见》有关要求，全面夯实普陀数字化、智能化领域产业和配套布局，充分激发数据要素赋能产业发展作用，以数据发展为动能，积极助推区域经济社会高质量发展，结合本区实际，经研究，制定本意见。</w:t>
      </w:r>
    </w:p>
    <w:p>
      <w:pPr>
        <w:spacing w:line="540" w:lineRule="exact"/>
        <w:ind w:firstLine="640" w:firstLineChars="200"/>
        <w:jc w:val="left"/>
        <w:rPr>
          <w:rFonts w:ascii="仿宋" w:hAnsi="仿宋" w:eastAsia="仿宋" w:cs="仿宋"/>
          <w:bCs/>
          <w:color w:val="auto"/>
          <w:sz w:val="32"/>
          <w:szCs w:val="32"/>
        </w:rPr>
      </w:pPr>
      <w:r>
        <w:rPr>
          <w:rFonts w:hint="eastAsia" w:ascii="黑体" w:hAnsi="黑体" w:eastAsia="黑体" w:cs="黑体"/>
          <w:bCs/>
          <w:color w:val="auto"/>
          <w:sz w:val="32"/>
          <w:szCs w:val="32"/>
        </w:rPr>
        <w:t>一、扶持对象</w:t>
      </w:r>
    </w:p>
    <w:p>
      <w:pPr>
        <w:spacing w:line="540" w:lineRule="exact"/>
        <w:ind w:firstLine="645"/>
        <w:rPr>
          <w:rFonts w:ascii="仿宋" w:hAnsi="仿宋" w:eastAsia="仿宋" w:cs="仿宋"/>
          <w:color w:val="auto"/>
          <w:sz w:val="32"/>
          <w:szCs w:val="32"/>
        </w:rPr>
      </w:pPr>
      <w:r>
        <w:rPr>
          <w:rFonts w:hint="eastAsia" w:ascii="仿宋" w:hAnsi="仿宋" w:eastAsia="仿宋" w:cs="仿宋"/>
          <w:color w:val="auto"/>
          <w:sz w:val="32"/>
          <w:szCs w:val="32"/>
        </w:rPr>
        <w:t>本意见适用于依法设立，信用记录良好，且符合区域数字化转型发展导向的企业和机构</w:t>
      </w:r>
      <w:r>
        <w:rPr>
          <w:rFonts w:hint="eastAsia" w:ascii="仿宋" w:hAnsi="仿宋" w:eastAsia="仿宋" w:cs="仿宋"/>
          <w:color w:val="auto"/>
          <w:sz w:val="32"/>
          <w:szCs w:val="32"/>
          <w:lang w:eastAsia="zh-CN"/>
        </w:rPr>
        <w:t>。</w:t>
      </w:r>
    </w:p>
    <w:p>
      <w:pPr>
        <w:numPr>
          <w:ilvl w:val="0"/>
          <w:numId w:val="1"/>
        </w:numPr>
        <w:spacing w:line="54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扶持方式</w:t>
      </w:r>
    </w:p>
    <w:p>
      <w:pPr>
        <w:numPr>
          <w:ilvl w:val="0"/>
          <w:numId w:val="0"/>
        </w:numPr>
        <w:spacing w:line="540" w:lineRule="exact"/>
        <w:ind w:firstLine="643" w:firstLineChars="200"/>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（一）支持打造示范项目</w:t>
      </w:r>
    </w:p>
    <w:p>
      <w:pPr>
        <w:pStyle w:val="2"/>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1.支持应用场景标杆示范。</w:t>
      </w:r>
      <w:r>
        <w:rPr>
          <w:rFonts w:hint="eastAsia" w:ascii="仿宋" w:hAnsi="仿宋" w:eastAsia="仿宋" w:cs="仿宋"/>
          <w:color w:val="auto"/>
          <w:sz w:val="32"/>
          <w:szCs w:val="32"/>
          <w:lang w:val="en-US" w:eastAsia="zh-CN"/>
        </w:rPr>
        <w:t>对赋能新质生产力、高品质生活、高效能治理的数字化创新应用项目，打造行业数据枢纽、促进数据流通应用、开展行业特色数据应用的典型应用项目，经评审认定为区级应用场景标杆示范项目的，可按项目投资额30%以内比例，给予最高不超过200万元的扶持。对纳入国家“数据要素×”典型应用场景、获得市级数据发展专项资金等扶持的超级应用场景、功能型平台等相关项目，经评审认定，可按1:1以内比例，给予最高不超过1000万元的区级资金匹配。</w:t>
      </w:r>
    </w:p>
    <w:p>
      <w:pPr>
        <w:pStyle w:val="2"/>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2.支持区块链研发应用。</w:t>
      </w:r>
      <w:r>
        <w:rPr>
          <w:rFonts w:hint="eastAsia" w:ascii="仿宋" w:hAnsi="仿宋" w:eastAsia="仿宋" w:cs="仿宋"/>
          <w:b w:val="0"/>
          <w:bCs w:val="0"/>
          <w:color w:val="auto"/>
          <w:sz w:val="32"/>
          <w:szCs w:val="32"/>
          <w:lang w:val="en-US" w:eastAsia="zh-CN"/>
        </w:rPr>
        <w:t>对依托城市区块链基础设施上链用链，在关键领域开展应用场景建设，开展区块链技术产品研发，经评审认定，可按项目投资额40%以内比例，给予最高不超过300万元的扶持。</w:t>
      </w:r>
    </w:p>
    <w:p>
      <w:pPr>
        <w:pStyle w:val="2"/>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3.支持数字基础设施建设。</w:t>
      </w:r>
      <w:r>
        <w:rPr>
          <w:rFonts w:hint="eastAsia" w:ascii="仿宋" w:hAnsi="仿宋" w:eastAsia="仿宋" w:cs="仿宋"/>
          <w:b w:val="0"/>
          <w:bCs w:val="0"/>
          <w:color w:val="auto"/>
          <w:sz w:val="32"/>
          <w:szCs w:val="32"/>
          <w:lang w:val="en-US" w:eastAsia="zh-CN"/>
        </w:rPr>
        <w:t>对在区内外开展并对外服务的存算设施、网络设施、流通利用设施、数据安全设施以及</w:t>
      </w:r>
      <w:r>
        <w:rPr>
          <w:rFonts w:hint="eastAsia" w:ascii="仿宋" w:hAnsi="仿宋" w:eastAsia="仿宋" w:cs="仿宋"/>
          <w:color w:val="auto"/>
          <w:szCs w:val="32"/>
        </w:rPr>
        <w:t>区块链基础设施</w:t>
      </w:r>
      <w:r>
        <w:rPr>
          <w:rFonts w:hint="eastAsia" w:ascii="仿宋" w:hAnsi="仿宋" w:eastAsia="仿宋" w:cs="仿宋"/>
          <w:b w:val="0"/>
          <w:bCs w:val="0"/>
          <w:color w:val="auto"/>
          <w:sz w:val="32"/>
          <w:szCs w:val="32"/>
          <w:lang w:val="en-US" w:eastAsia="zh-CN"/>
        </w:rPr>
        <w:t>等，经审核认定，可按实际固定资产投资的2%以内比例，给予最高不超过1000万元的扶持。</w:t>
      </w:r>
    </w:p>
    <w:p>
      <w:pPr>
        <w:pStyle w:val="2"/>
        <w:rPr>
          <w:rFonts w:hint="default"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4.支持数据要素流通应用。</w:t>
      </w:r>
      <w:r>
        <w:rPr>
          <w:rFonts w:hint="eastAsia" w:ascii="仿宋" w:hAnsi="仿宋" w:eastAsia="仿宋" w:cs="仿宋"/>
          <w:b w:val="0"/>
          <w:bCs w:val="0"/>
          <w:color w:val="auto"/>
          <w:sz w:val="32"/>
          <w:szCs w:val="32"/>
          <w:lang w:val="en-US" w:eastAsia="zh-CN"/>
        </w:rPr>
        <w:t>对参与区级数据创新实验室、特色数据空间、数据授权运营场景、高质量数据集建设的企业、机构，经审核认定，可按实际出资额的50%以内比例，给予最高不超过200万元的扶持。</w:t>
      </w:r>
    </w:p>
    <w:p>
      <w:pPr>
        <w:numPr>
          <w:ilvl w:val="0"/>
          <w:numId w:val="0"/>
        </w:numPr>
        <w:spacing w:line="540" w:lineRule="exact"/>
        <w:ind w:firstLine="643" w:firstLineChars="200"/>
        <w:rPr>
          <w:rFonts w:hint="default"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（二）支持赋能产业发展</w:t>
      </w:r>
    </w:p>
    <w:p>
      <w:pPr>
        <w:pStyle w:val="2"/>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5.鼓励加强数据管理能力。</w:t>
      </w:r>
      <w:r>
        <w:rPr>
          <w:rFonts w:hint="eastAsia" w:ascii="仿宋" w:hAnsi="仿宋" w:eastAsia="仿宋" w:cs="仿宋"/>
          <w:b w:val="0"/>
          <w:bCs w:val="0"/>
          <w:color w:val="auto"/>
          <w:sz w:val="32"/>
          <w:szCs w:val="32"/>
          <w:lang w:val="en-US" w:eastAsia="zh-CN"/>
        </w:rPr>
        <w:t>对通过数据管理能力成熟度评价模型（DCMM）3级及以上贯标认证的企业，经审核认定，可根据认证级别给予最高不超过25万元的扶持。同一企业升级认证级别，给予差额扶持。</w:t>
      </w:r>
    </w:p>
    <w:p>
      <w:pPr>
        <w:pStyle w:val="2"/>
        <w:ind w:firstLine="643"/>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6.鼓励加快数据开发利用。</w:t>
      </w:r>
      <w:r>
        <w:rPr>
          <w:rFonts w:hint="eastAsia" w:ascii="仿宋" w:hAnsi="仿宋" w:eastAsia="仿宋" w:cs="仿宋"/>
          <w:b w:val="0"/>
          <w:bCs w:val="0"/>
          <w:color w:val="auto"/>
          <w:sz w:val="32"/>
          <w:szCs w:val="32"/>
          <w:lang w:val="en-US" w:eastAsia="zh-CN"/>
        </w:rPr>
        <w:t>对企业围绕自身业务数据和行业数据，通过购买服务、租用资源等方式开展数据治理、数据挖掘、模型训练、模型推理等，并对行业发展形成显著促进作用的，经审核认定，可按合同金额的40%以内比例，给予最高不超过200万元的扶持。</w:t>
      </w:r>
    </w:p>
    <w:p>
      <w:pPr>
        <w:pStyle w:val="2"/>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7.鼓励参与数字领域标准制订。</w:t>
      </w:r>
      <w:r>
        <w:rPr>
          <w:rFonts w:hint="eastAsia" w:ascii="仿宋" w:hAnsi="仿宋" w:eastAsia="仿宋" w:cs="仿宋"/>
          <w:b w:val="0"/>
          <w:bCs w:val="0"/>
          <w:color w:val="auto"/>
          <w:sz w:val="32"/>
          <w:szCs w:val="32"/>
          <w:lang w:val="en-US" w:eastAsia="zh-CN"/>
        </w:rPr>
        <w:t>对参与数据要素、数字经济、智慧城市等领域国际、国家、行业、地方标准制订的单位，经审核认定，对第一起草单位可分别给予30万元、20万元、10万元、5万元的扶持，非第一起草单位按50%标准给予扶持。</w:t>
      </w:r>
    </w:p>
    <w:p>
      <w:pPr>
        <w:pStyle w:val="2"/>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8.鼓励提供数字赋能服务。</w:t>
      </w:r>
      <w:r>
        <w:rPr>
          <w:rFonts w:hint="eastAsia" w:ascii="仿宋" w:hAnsi="仿宋" w:eastAsia="仿宋" w:cs="仿宋"/>
          <w:b w:val="0"/>
          <w:bCs w:val="0"/>
          <w:color w:val="auto"/>
          <w:sz w:val="32"/>
          <w:szCs w:val="32"/>
          <w:lang w:val="en-US" w:eastAsia="zh-CN"/>
        </w:rPr>
        <w:t>对各类数商、数字赋能平台，服务本区企业开展数字化转型、数据价值挖掘、业务能级提升，成效显著的，经审核认定，可按照服务金额一定比例，给予最高不超过200万元的扶持。若同时符合《普陀区服务企业发展工作实施意见》规定的“支持中小企业发展”的，从高不重复享受。</w:t>
      </w:r>
    </w:p>
    <w:p>
      <w:pPr>
        <w:numPr>
          <w:ilvl w:val="0"/>
          <w:numId w:val="0"/>
        </w:numPr>
        <w:spacing w:line="540" w:lineRule="exact"/>
        <w:ind w:firstLine="643" w:firstLineChars="200"/>
        <w:rPr>
          <w:rFonts w:hint="default"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（三）鼓励营造生态氛围</w:t>
      </w:r>
    </w:p>
    <w:p>
      <w:pPr>
        <w:pStyle w:val="2"/>
        <w:rPr>
          <w:rFonts w:hint="eastAsia" w:ascii="仿宋" w:hAnsi="仿宋" w:eastAsia="仿宋" w:cs="仿宋"/>
          <w:b w:val="0"/>
          <w:bCs w:val="0"/>
          <w:color w:val="auto"/>
          <w:szCs w:val="32"/>
          <w:lang w:eastAsia="zh-CN"/>
        </w:rPr>
      </w:pPr>
      <w:r>
        <w:rPr>
          <w:rFonts w:hint="eastAsia" w:ascii="仿宋" w:hAnsi="仿宋" w:eastAsia="仿宋" w:cs="仿宋"/>
          <w:b/>
          <w:bCs/>
          <w:color w:val="auto"/>
          <w:sz w:val="32"/>
          <w:szCs w:val="32"/>
          <w:lang w:val="en-US" w:eastAsia="zh-CN"/>
        </w:rPr>
        <w:t>9.</w:t>
      </w:r>
      <w:r>
        <w:rPr>
          <w:rFonts w:hint="eastAsia" w:ascii="仿宋" w:hAnsi="仿宋" w:eastAsia="仿宋" w:cs="仿宋"/>
          <w:b/>
          <w:bCs/>
          <w:color w:val="auto"/>
          <w:szCs w:val="32"/>
          <w:lang w:val="en-US" w:eastAsia="zh-CN"/>
        </w:rPr>
        <w:t>鼓励建设展示平台</w:t>
      </w:r>
      <w:r>
        <w:rPr>
          <w:rFonts w:hint="eastAsia" w:ascii="仿宋" w:hAnsi="仿宋" w:eastAsia="仿宋" w:cs="仿宋"/>
          <w:b/>
          <w:bCs/>
          <w:color w:val="auto"/>
          <w:szCs w:val="32"/>
        </w:rPr>
        <w:t>。</w:t>
      </w:r>
      <w:r>
        <w:rPr>
          <w:rFonts w:hint="eastAsia" w:ascii="仿宋" w:hAnsi="仿宋" w:eastAsia="仿宋" w:cs="仿宋"/>
          <w:b w:val="0"/>
          <w:bCs w:val="0"/>
          <w:color w:val="auto"/>
          <w:szCs w:val="32"/>
          <w:lang w:val="en-US" w:eastAsia="zh-CN"/>
        </w:rPr>
        <w:t>对</w:t>
      </w:r>
      <w:r>
        <w:rPr>
          <w:rFonts w:hint="eastAsia" w:ascii="仿宋" w:hAnsi="仿宋" w:eastAsia="仿宋" w:cs="仿宋"/>
          <w:b w:val="0"/>
          <w:bCs w:val="0"/>
          <w:color w:val="auto"/>
          <w:szCs w:val="32"/>
        </w:rPr>
        <w:t>企业自主建设或</w:t>
      </w:r>
      <w:r>
        <w:rPr>
          <w:rFonts w:hint="eastAsia" w:ascii="仿宋" w:hAnsi="仿宋" w:eastAsia="仿宋" w:cs="仿宋"/>
          <w:b w:val="0"/>
          <w:bCs w:val="0"/>
          <w:color w:val="auto"/>
          <w:szCs w:val="32"/>
          <w:lang w:val="en-US" w:eastAsia="zh-CN"/>
        </w:rPr>
        <w:t>升级改造数字化技术、成果、应用等相关实体展厅和虚拟展厅</w:t>
      </w: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与区域数字经济和数据要素发展导向相符，并取得较好展示、引流、带动成效的，</w:t>
      </w:r>
      <w:r>
        <w:rPr>
          <w:rFonts w:hint="eastAsia" w:ascii="仿宋" w:hAnsi="仿宋" w:eastAsia="仿宋" w:cs="仿宋"/>
          <w:b w:val="0"/>
          <w:bCs w:val="0"/>
          <w:color w:val="auto"/>
          <w:szCs w:val="32"/>
        </w:rPr>
        <w:t>经审核认定，可按展示设计建设投资额50%</w:t>
      </w:r>
      <w:r>
        <w:rPr>
          <w:rFonts w:hint="eastAsia" w:ascii="仿宋" w:hAnsi="仿宋" w:eastAsia="仿宋" w:cs="仿宋"/>
          <w:b w:val="0"/>
          <w:bCs w:val="0"/>
          <w:color w:val="auto"/>
          <w:szCs w:val="32"/>
          <w:lang w:val="en-US" w:eastAsia="zh-CN"/>
        </w:rPr>
        <w:t>以内</w:t>
      </w:r>
      <w:r>
        <w:rPr>
          <w:rFonts w:hint="eastAsia" w:ascii="仿宋" w:hAnsi="仿宋" w:eastAsia="仿宋" w:cs="仿宋"/>
          <w:b w:val="0"/>
          <w:bCs w:val="0"/>
          <w:color w:val="auto"/>
          <w:szCs w:val="32"/>
        </w:rPr>
        <w:t>比例，</w:t>
      </w:r>
      <w:r>
        <w:rPr>
          <w:rFonts w:hint="eastAsia" w:ascii="仿宋" w:hAnsi="仿宋" w:eastAsia="仿宋" w:cs="仿宋"/>
          <w:b w:val="0"/>
          <w:bCs w:val="0"/>
          <w:color w:val="auto"/>
          <w:szCs w:val="32"/>
          <w:lang w:val="en-US" w:eastAsia="zh-CN"/>
        </w:rPr>
        <w:t>给予</w:t>
      </w:r>
      <w:r>
        <w:rPr>
          <w:rFonts w:hint="eastAsia" w:ascii="仿宋" w:hAnsi="仿宋" w:eastAsia="仿宋" w:cs="仿宋"/>
          <w:b w:val="0"/>
          <w:bCs w:val="0"/>
          <w:color w:val="auto"/>
          <w:szCs w:val="32"/>
        </w:rPr>
        <w:t>最高</w:t>
      </w:r>
      <w:r>
        <w:rPr>
          <w:rFonts w:hint="eastAsia" w:ascii="仿宋" w:hAnsi="仿宋" w:eastAsia="仿宋" w:cs="仿宋"/>
          <w:b w:val="0"/>
          <w:bCs w:val="0"/>
          <w:color w:val="auto"/>
          <w:szCs w:val="32"/>
          <w:lang w:val="en-US" w:eastAsia="zh-CN"/>
        </w:rPr>
        <w:t>不超过200万元的扶持</w:t>
      </w:r>
      <w:r>
        <w:rPr>
          <w:rFonts w:hint="eastAsia" w:ascii="仿宋" w:hAnsi="仿宋" w:eastAsia="仿宋" w:cs="仿宋"/>
          <w:b w:val="0"/>
          <w:bCs w:val="0"/>
          <w:color w:val="auto"/>
          <w:szCs w:val="32"/>
        </w:rPr>
        <w:t>。</w:t>
      </w:r>
    </w:p>
    <w:p>
      <w:pPr>
        <w:pStyle w:val="2"/>
        <w:rPr>
          <w:rFonts w:hint="default"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10.鼓励开展行业活动。</w:t>
      </w:r>
      <w:r>
        <w:rPr>
          <w:rFonts w:hint="eastAsia" w:ascii="仿宋" w:hAnsi="仿宋" w:eastAsia="仿宋" w:cs="仿宋"/>
          <w:b w:val="0"/>
          <w:bCs w:val="0"/>
          <w:color w:val="auto"/>
          <w:sz w:val="32"/>
          <w:szCs w:val="32"/>
          <w:lang w:val="en-US" w:eastAsia="zh-CN"/>
        </w:rPr>
        <w:t>鼓励企业落地举办对国际、全国、长三角数字领域合作具有显著推动作用的各类峰会、赛事、论坛、展会等活动，经审核认定，可按运营投入50%以内比例，给予最高不超过100万元的资金扶持。对参加国家、市级行业主管部门主办的数字领域相关产业峰会、赛事、论坛、展会等活动的企业，经审核认定，可按实际发生的注册费、展位费、搭建费等支出50%以内比例，给予最高不超过20万元的扶持。</w:t>
      </w:r>
    </w:p>
    <w:p>
      <w:pPr>
        <w:pStyle w:val="2"/>
        <w:ind w:firstLine="643" w:firstLineChars="200"/>
        <w:rPr>
          <w:rFonts w:hint="default" w:ascii="仿宋" w:hAnsi="仿宋" w:eastAsia="仿宋" w:cs="仿宋"/>
          <w:b w:val="0"/>
          <w:bCs w:val="0"/>
          <w:color w:val="auto"/>
          <w:szCs w:val="32"/>
          <w:lang w:val="en-US" w:eastAsia="zh-CN"/>
        </w:rPr>
      </w:pPr>
      <w:r>
        <w:rPr>
          <w:rFonts w:hint="eastAsia" w:ascii="仿宋" w:hAnsi="仿宋" w:eastAsia="仿宋" w:cs="仿宋"/>
          <w:b/>
          <w:bCs/>
          <w:color w:val="auto"/>
          <w:sz w:val="32"/>
          <w:szCs w:val="32"/>
          <w:lang w:val="en-US" w:eastAsia="zh-CN"/>
        </w:rPr>
        <w:t>11.支持开展课题研究。</w:t>
      </w:r>
      <w:r>
        <w:rPr>
          <w:rFonts w:hint="eastAsia" w:ascii="仿宋" w:hAnsi="仿宋" w:eastAsia="仿宋" w:cs="仿宋"/>
          <w:b w:val="0"/>
          <w:bCs w:val="0"/>
          <w:color w:val="auto"/>
          <w:sz w:val="32"/>
          <w:szCs w:val="32"/>
          <w:lang w:val="en-US" w:eastAsia="zh-CN"/>
        </w:rPr>
        <w:t>围绕数据要素、数字经济、数据安全、数据合规等相关领域前沿趋势和突出问题，结合区域发展实际，通过“揭榜挂帅”方式开展课题研究，对承接课题并形成研究</w:t>
      </w:r>
      <w:r>
        <w:rPr>
          <w:rFonts w:hint="eastAsia" w:ascii="仿宋" w:hAnsi="仿宋" w:eastAsia="仿宋" w:cs="仿宋"/>
          <w:b w:val="0"/>
          <w:bCs w:val="0"/>
          <w:color w:val="auto"/>
          <w:szCs w:val="32"/>
          <w:lang w:val="en-US" w:eastAsia="zh-CN"/>
        </w:rPr>
        <w:t>成果的区内高校、机构、企业、组织，可按课题等级分别给予最高不超过20万元、10万元扶持。</w:t>
      </w:r>
    </w:p>
    <w:p>
      <w:pPr>
        <w:pStyle w:val="2"/>
        <w:rPr>
          <w:rFonts w:hint="eastAsia" w:ascii="仿宋" w:hAnsi="仿宋" w:eastAsia="仿宋" w:cs="仿宋"/>
          <w:b w:val="0"/>
          <w:bCs w:val="0"/>
          <w:color w:val="auto"/>
          <w:szCs w:val="32"/>
          <w:lang w:val="en-US" w:eastAsia="zh-CN"/>
        </w:rPr>
      </w:pPr>
      <w:r>
        <w:rPr>
          <w:rFonts w:hint="eastAsia" w:ascii="仿宋" w:hAnsi="仿宋" w:eastAsia="仿宋" w:cs="仿宋"/>
          <w:b/>
          <w:bCs/>
          <w:color w:val="auto"/>
          <w:sz w:val="32"/>
          <w:szCs w:val="32"/>
          <w:lang w:val="en-US" w:eastAsia="zh-CN"/>
        </w:rPr>
        <w:t>12.</w:t>
      </w:r>
      <w:r>
        <w:rPr>
          <w:rFonts w:hint="eastAsia" w:ascii="仿宋" w:hAnsi="仿宋" w:eastAsia="仿宋" w:cs="仿宋"/>
          <w:b/>
          <w:bCs/>
          <w:color w:val="auto"/>
          <w:szCs w:val="32"/>
          <w:lang w:val="en-US" w:eastAsia="zh-CN"/>
        </w:rPr>
        <w:t>支持承担重大项目建设。</w:t>
      </w:r>
      <w:r>
        <w:rPr>
          <w:rFonts w:hint="eastAsia" w:ascii="仿宋" w:hAnsi="仿宋" w:eastAsia="仿宋" w:cs="仿宋"/>
          <w:b w:val="0"/>
          <w:bCs w:val="0"/>
          <w:color w:val="auto"/>
          <w:szCs w:val="32"/>
          <w:lang w:val="en-US" w:eastAsia="zh-CN"/>
        </w:rPr>
        <w:t>对承担国家、市级重大项目，服务区域重点平台建设，对区域数字经济发展形成重要支撑的企业、机构，经审核认定，可给予专项支持。</w:t>
      </w:r>
    </w:p>
    <w:p>
      <w:pPr>
        <w:spacing w:line="54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lang w:eastAsia="zh-CN"/>
        </w:rPr>
        <w:t>三</w:t>
      </w:r>
      <w:r>
        <w:rPr>
          <w:rFonts w:hint="eastAsia" w:ascii="黑体" w:hAnsi="黑体" w:eastAsia="黑体" w:cs="黑体"/>
          <w:bCs/>
          <w:color w:val="auto"/>
          <w:sz w:val="32"/>
          <w:szCs w:val="32"/>
        </w:rPr>
        <w:t>、使用管理</w:t>
      </w:r>
    </w:p>
    <w:p>
      <w:pPr>
        <w:spacing w:line="540" w:lineRule="exact"/>
        <w:ind w:firstLine="645"/>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区数据局会同区发改委、区财政局、区投促办，根据本意见制定实施流程和细则。本政策条款若与上海市、普陀区制定的其他政策有重复交叉的，按照“从高不重复”原则予以支持。在实施过程中如遇国家、上海市颁布新政策，按新政策执行。</w:t>
      </w:r>
    </w:p>
    <w:p>
      <w:pPr>
        <w:spacing w:line="540" w:lineRule="exact"/>
        <w:ind w:firstLine="645"/>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（二）区数据局负责编制年度专项资金预算，并按程序向区财政局申请拨款，区财政局负责执行相关扶持资金的拨付，在项目过程中会同审计部门对专项资金的使用管理情况进行监督管理。</w:t>
      </w:r>
    </w:p>
    <w:p>
      <w:pPr>
        <w:spacing w:line="540" w:lineRule="exact"/>
        <w:ind w:firstLine="645"/>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（三）本意见按照《普陀区产业政策绩效评估管理办法》，实行绩效评估管理。</w:t>
      </w:r>
    </w:p>
    <w:p>
      <w:pPr>
        <w:spacing w:line="540" w:lineRule="exact"/>
        <w:ind w:firstLine="645"/>
        <w:rPr>
          <w:rFonts w:ascii="黑体" w:hAnsi="黑体" w:eastAsia="黑体" w:cs="黑体"/>
          <w:bCs/>
          <w:color w:val="auto"/>
          <w:sz w:val="32"/>
          <w:szCs w:val="32"/>
        </w:rPr>
      </w:pPr>
      <w:r>
        <w:rPr>
          <w:rFonts w:hint="eastAsia" w:ascii="黑体" w:hAnsi="黑体" w:eastAsia="黑体" w:cs="黑体"/>
          <w:bCs/>
          <w:color w:val="auto"/>
          <w:sz w:val="32"/>
          <w:szCs w:val="32"/>
          <w:lang w:eastAsia="zh-CN"/>
        </w:rPr>
        <w:t>四</w:t>
      </w:r>
      <w:r>
        <w:rPr>
          <w:rFonts w:hint="eastAsia" w:ascii="黑体" w:hAnsi="黑体" w:eastAsia="黑体" w:cs="黑体"/>
          <w:bCs/>
          <w:color w:val="auto"/>
          <w:sz w:val="32"/>
          <w:szCs w:val="32"/>
        </w:rPr>
        <w:t>、附则</w:t>
      </w:r>
    </w:p>
    <w:p>
      <w:pPr>
        <w:spacing w:line="540" w:lineRule="exact"/>
        <w:ind w:firstLine="645"/>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实行产业专项资金全过程信用管理。申请本政策扶持的企业或机构，将接受信用审查，过去三年内存在严重失信行为或违法行为的，取消申请资格。企业或机构在享受扶持过程中存在失信行为，经查实的，按照有关规定报送市、区公共信用信息服务平台。扶持对象存在弄虚作假、骗取扶持资金等违法违规行为，经查实的，将立即取消一切扶持资金并追缴资金，依法追究相关责任。</w:t>
      </w:r>
    </w:p>
    <w:p>
      <w:pPr>
        <w:spacing w:line="540" w:lineRule="exact"/>
        <w:ind w:firstLine="645"/>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（二）本办法自印发之日起施行，有效期至2026年12月31日。区科委2022年11月15日印发的《普陀区支持数字化转型发展实施意见》（普科合规范〔2022〕3号）同时废止。</w:t>
      </w:r>
    </w:p>
    <w:p>
      <w:pPr>
        <w:spacing w:line="540" w:lineRule="exact"/>
        <w:ind w:firstLine="645"/>
        <w:rPr>
          <w:rFonts w:hint="eastAsia" w:ascii="仿宋" w:hAnsi="仿宋" w:eastAsia="仿宋" w:cs="仿宋"/>
          <w:b w:val="0"/>
          <w:bCs w:val="0"/>
          <w:color w:val="auto"/>
          <w:kern w:val="2"/>
          <w:sz w:val="32"/>
          <w:szCs w:val="32"/>
          <w:lang w:val="en-US" w:eastAsia="zh-CN" w:bidi="ar-SA"/>
        </w:rPr>
      </w:pPr>
    </w:p>
    <w:p>
      <w:pPr>
        <w:pStyle w:val="2"/>
        <w:ind w:left="0" w:leftChars="0" w:firstLine="0" w:firstLineChars="0"/>
        <w:jc w:val="both"/>
        <w:rPr>
          <w:rFonts w:hint="default" w:ascii="仿宋" w:hAnsi="仿宋" w:eastAsia="仿宋" w:cs="仿宋"/>
          <w:color w:val="auto"/>
          <w:kern w:val="2"/>
          <w:sz w:val="32"/>
          <w:szCs w:val="32"/>
          <w:lang w:val="en-US" w:eastAsia="zh-CN" w:bidi="ar-S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F6E5B"/>
    <w:multiLevelType w:val="singleLevel"/>
    <w:tmpl w:val="F9AF6E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5FEE74A7"/>
    <w:rsid w:val="00FC02AA"/>
    <w:rsid w:val="03942A31"/>
    <w:rsid w:val="12E16087"/>
    <w:rsid w:val="16711AC3"/>
    <w:rsid w:val="1B095DF8"/>
    <w:rsid w:val="203216E3"/>
    <w:rsid w:val="28184C68"/>
    <w:rsid w:val="28702875"/>
    <w:rsid w:val="316B4522"/>
    <w:rsid w:val="33030EB6"/>
    <w:rsid w:val="33064502"/>
    <w:rsid w:val="37BD7380"/>
    <w:rsid w:val="3AAA009C"/>
    <w:rsid w:val="3BBF16F2"/>
    <w:rsid w:val="3D193084"/>
    <w:rsid w:val="3DC952A3"/>
    <w:rsid w:val="3FBE7F13"/>
    <w:rsid w:val="56958EBE"/>
    <w:rsid w:val="5FCC4215"/>
    <w:rsid w:val="5FEE74A7"/>
    <w:rsid w:val="6D903566"/>
    <w:rsid w:val="7AB859A1"/>
    <w:rsid w:val="7DF91A49"/>
    <w:rsid w:val="7E9F9405"/>
    <w:rsid w:val="7F9E3BE4"/>
    <w:rsid w:val="7FEF7633"/>
    <w:rsid w:val="87BE41AE"/>
    <w:rsid w:val="9D3C34FA"/>
    <w:rsid w:val="CFFF7A69"/>
    <w:rsid w:val="E8FFDD27"/>
    <w:rsid w:val="F57FE65F"/>
    <w:rsid w:val="FFF591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ind w:firstLine="630"/>
    </w:pPr>
    <w:rPr>
      <w:rFonts w:ascii="仿宋_GB2312" w:eastAsia="仿宋_GB2312"/>
      <w:sz w:val="32"/>
    </w:rPr>
  </w:style>
  <w:style w:type="paragraph" w:styleId="4">
    <w:name w:val="Normal Indent"/>
    <w:basedOn w:val="1"/>
    <w:qFormat/>
    <w:uiPriority w:val="0"/>
    <w:pPr>
      <w:ind w:firstLine="420" w:firstLineChars="200"/>
    </w:pPr>
    <w:rPr>
      <w:rFonts w:eastAsia="仿宋"/>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3897</Words>
  <Characters>3998</Characters>
  <Lines>0</Lines>
  <Paragraphs>0</Paragraphs>
  <TotalTime>968</TotalTime>
  <ScaleCrop>false</ScaleCrop>
  <LinksUpToDate>false</LinksUpToDate>
  <CharactersWithSpaces>4000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2024-11-07T16:54:00Z</dcterms:created>
  <dc:creator>abv</dc:creator>
  <cp:lastModifiedBy>abv</cp:lastModifiedBy>
  <dcterms:modified xsi:type="dcterms:W3CDTF">2024-11-11T09:54:19Z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DA5840DF173E444AB5413961A9848B22_13</vt:lpwstr>
  </property>
</Properties>
</file>