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  <w:r>
        <w:rPr>
          <w:rFonts w:hint="eastAsia" w:ascii="宋体" w:hAnsi="宋体" w:cs="宋体"/>
          <w:b/>
          <w:bCs/>
          <w:sz w:val="52"/>
          <w:szCs w:val="52"/>
        </w:rPr>
        <w:t>上海市普陀区人民政府</w:t>
      </w:r>
    </w:p>
    <w:p>
      <w:pPr>
        <w:snapToGrid w:val="0"/>
        <w:spacing w:line="560" w:lineRule="exact"/>
        <w:jc w:val="center"/>
        <w:rPr>
          <w:rFonts w:ascii="宋体" w:hAnsi="宋体" w:cs="宋体"/>
          <w:b/>
          <w:bCs/>
          <w:position w:val="-2"/>
          <w:sz w:val="52"/>
          <w:szCs w:val="52"/>
        </w:rPr>
      </w:pPr>
      <w:r>
        <w:rPr>
          <w:rFonts w:hint="eastAsia" w:ascii="宋体" w:hAnsi="宋体" w:cs="宋体"/>
          <w:b/>
          <w:bCs/>
          <w:sz w:val="52"/>
          <w:szCs w:val="52"/>
        </w:rPr>
        <w:t>行政复议决定书</w:t>
      </w:r>
    </w:p>
    <w:p>
      <w:pPr>
        <w:widowControl/>
        <w:adjustRightInd w:val="0"/>
        <w:snapToGrid w:val="0"/>
        <w:spacing w:line="560" w:lineRule="exact"/>
        <w:jc w:val="right"/>
        <w:rPr>
          <w:rFonts w:ascii="仿宋_GB2312" w:eastAsia="仿宋_GB2312"/>
          <w:sz w:val="30"/>
          <w:szCs w:val="30"/>
        </w:rPr>
      </w:pPr>
    </w:p>
    <w:p>
      <w:pPr>
        <w:tabs>
          <w:tab w:val="left" w:pos="8294"/>
        </w:tabs>
        <w:wordWrap w:val="0"/>
        <w:adjustRightInd w:val="0"/>
        <w:snapToGrid w:val="0"/>
        <w:spacing w:line="560" w:lineRule="exact"/>
        <w:ind w:firstLine="600" w:firstLineChars="200"/>
        <w:jc w:val="righ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沪普府复字(2026)第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号</w:t>
      </w:r>
    </w:p>
    <w:p>
      <w:pPr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申 请 人：</w:t>
      </w:r>
      <w:bookmarkStart w:id="0" w:name="OLE_LINK1"/>
      <w:bookmarkEnd w:id="0"/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孙**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，女，</w:t>
      </w:r>
      <w:r>
        <w:rPr>
          <w:rFonts w:ascii="仿宋_GB2312" w:hAnsi="仿宋_GB2312" w:eastAsia="仿宋_GB2312" w:cs="仿宋_GB2312"/>
          <w:kern w:val="0"/>
          <w:sz w:val="30"/>
          <w:szCs w:val="30"/>
        </w:rPr>
        <w:t>19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**</w:t>
      </w:r>
      <w:r>
        <w:rPr>
          <w:rFonts w:ascii="仿宋_GB2312" w:hAnsi="仿宋_GB2312" w:eastAsia="仿宋_GB2312" w:cs="仿宋_GB2312"/>
          <w:kern w:val="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**</w:t>
      </w:r>
      <w:r>
        <w:rPr>
          <w:rFonts w:ascii="仿宋_GB2312" w:hAnsi="仿宋_GB2312" w:eastAsia="仿宋_GB2312" w:cs="仿宋_GB2312"/>
          <w:kern w:val="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**日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出生</w:t>
      </w:r>
    </w:p>
    <w:p>
      <w:pPr>
        <w:adjustRightInd w:val="0"/>
        <w:snapToGrid w:val="0"/>
        <w:spacing w:line="560" w:lineRule="exact"/>
        <w:ind w:firstLine="600" w:firstLineChars="200"/>
        <w:rPr>
          <w:rFonts w:hint="default" w:ascii="仿宋_GB2312" w:hAnsi="仿宋_GB2312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住 </w:t>
      </w:r>
      <w:r>
        <w:rPr>
          <w:rFonts w:ascii="仿宋_GB2312" w:hAnsi="仿宋_GB2312" w:eastAsia="仿宋_GB2312" w:cs="仿宋_GB2312"/>
          <w:kern w:val="0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所：上海市普陀区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******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被申请人：上海市公安局普陀分局交通管理支队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 xml:space="preserve">住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所：</w:t>
      </w:r>
      <w:r>
        <w:rPr>
          <w:rFonts w:hint="eastAsia" w:ascii="仿宋_GB2312" w:hAnsi="仿宋" w:eastAsia="仿宋_GB2312" w:cs="仿宋"/>
          <w:sz w:val="30"/>
          <w:szCs w:val="30"/>
        </w:rPr>
        <w:t>上海市普陀区府村路125号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法定代表人：陈志俊，职务：支队长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申请人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孙**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因不服被申请人上海市公安局普陀分局交通管理支队于2026年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*月*日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所作第3101071729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79****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号《公安交通管理简易程序处罚决定书》（以下简称《处罚决定书》），向本机关申请行政复议，本机关依法予以受理，现已审理终结。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申请人请求：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撤销被申请人所作第3101071729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79****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号《处罚决定书》。</w:t>
      </w:r>
    </w:p>
    <w:p>
      <w:pPr>
        <w:snapToGrid w:val="0"/>
        <w:spacing w:line="560" w:lineRule="exact"/>
        <w:ind w:firstLine="600"/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</w:rPr>
        <w:t>申请人称：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案涉路段系机动车与非机动车混行的路段，并没有明确划分机动车道与非机动车道的标志，导致申请人误入机动车道并最终被处罚。申请人无主观过错且及时改正，没有造成危害后果，被申请人应当从轻或减轻行政处罚。综上，请求撤销处罚决定。</w:t>
      </w:r>
    </w:p>
    <w:p>
      <w:pPr>
        <w:snapToGrid w:val="0"/>
        <w:spacing w:line="560" w:lineRule="exact"/>
        <w:ind w:firstLine="600" w:firstLineChars="200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被申请人答复称：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案涉违法地点地面有明显的标线引导车辆驶入上街沿非机动车道，且地面漆画有明显的非机动车标志，申请人未按标线引导驶入非机动车道，该行为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违反了《中华人民共和国道路交通安全法》第五十七条规定。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被申请人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依据《中华人民共和国道路交通安全法》第八十九条作出罚款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元的行政处罚。综上，被申请人作出的行政处罚决定，事实清楚，适用法律条款正确，程序合法，请求依法维持。</w:t>
      </w:r>
    </w:p>
    <w:p>
      <w:pPr>
        <w:snapToGrid w:val="0"/>
        <w:spacing w:line="560" w:lineRule="exact"/>
        <w:ind w:firstLine="600" w:firstLineChars="200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经审理查明</w:t>
      </w:r>
      <w:r>
        <w:rPr>
          <w:rFonts w:hint="eastAsia" w:eastAsia="仿宋_GB2312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2026年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*月*日7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时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43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分许，申请人驾驶自行车沿真北路由北向南在机动车道内骑行，被执勤民警拦下。民警向申请人告知拟处罚内容，听取申请人陈述申辩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后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，当场开具《处罚决定书》，认定申请人实施了非机动车未在非机动车道内行驶的违法行为，违反了《道路交通安全法》第五十七条的规定，依据《道路交通安全法》第八十九条的规定，决定处罚款50元的行政处罚。现申请人不服该《处罚决定书》，向本机关申请行政复议。</w:t>
      </w:r>
    </w:p>
    <w:p>
      <w:pPr>
        <w:wordWrap w:val="0"/>
        <w:adjustRightInd w:val="0"/>
        <w:snapToGrid w:val="0"/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另查明，真北路辅路漆划有车行道边缘线（机非分界线），非机动车道上漆画有非机动车道标志，在非机动车道变换调整的地方有红色彩铺提醒引导。</w:t>
      </w:r>
    </w:p>
    <w:p>
      <w:pPr>
        <w:wordWrap w:val="0"/>
        <w:adjustRightInd w:val="0"/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以上事实主要有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《处罚决定书》、道路监控、执法记录仪视频</w:t>
      </w:r>
      <w:r>
        <w:rPr>
          <w:rFonts w:hint="eastAsia" w:ascii="仿宋_GB2312" w:hAnsi="仿宋_GB2312" w:eastAsia="仿宋_GB2312" w:cs="仿宋_GB2312"/>
          <w:sz w:val="30"/>
          <w:szCs w:val="30"/>
        </w:rPr>
        <w:t>等证据证实。</w:t>
      </w:r>
    </w:p>
    <w:p>
      <w:pPr>
        <w:snapToGrid w:val="0"/>
        <w:spacing w:line="560" w:lineRule="exact"/>
        <w:ind w:firstLine="600" w:firstLineChars="200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本机关认为：</w:t>
      </w:r>
    </w:p>
    <w:p>
      <w:pPr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根据《道路交通安全法》第五条第一款的规定，被申请人具有对违反道路交通管理的行为作出行政处罚的法定职权。根据执法记录仪视频和道路监控显示，申请人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驾驶自行车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在机动车道内骑行，实施了非机动车未在非机动车道内行驶的行为，被申请人认定事实清楚，证据确凿，适用依据正确。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民警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将违法行为的基本事实，拟作出的行政处罚、依据及其依法享有的权利告知申请人后，作出涉案《处罚决定书》并送达申请人，程序合法。被申请人根据《道路交通安全法》第八十九条的规定作出涉案行政处罚，适用依据正确，处罚亦在裁量范围内。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事发路段道路地面标志及引导标线清晰，申请人应注意观察。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申请人在机动车道内骑行非机动车，具有较高的道路安全隐患，可能造成严重的危害后果。故对申请人的复议请求和理由，本机关不予支持。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综上，本机关认为，被申请人作出的处罚决定，认定事实清楚，证据确凿，适用依据正确，程序合法，内容适当。根据《中华人民共和国行政复议法》第六十八条的规定，本机关决定：</w:t>
      </w:r>
      <w:r>
        <w:rPr>
          <w:rFonts w:hint="eastAsia" w:ascii="仿宋_GB2312" w:hAnsi="仿宋" w:eastAsia="仿宋_GB2312" w:cs="仿宋"/>
          <w:sz w:val="30"/>
          <w:szCs w:val="30"/>
        </w:rPr>
        <w:t xml:space="preserve"> 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维持被申请人上海市公安局普陀分局交通管理支队于 2026年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*月*日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作出第3101071729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/>
        </w:rPr>
        <w:t>79****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号《公安交通管理简易程序处罚决定书》的行政行为。</w:t>
      </w:r>
      <w:r>
        <w:rPr>
          <w:rFonts w:hint="eastAsia" w:ascii="仿宋_GB2312" w:hAnsi="仿宋" w:eastAsia="仿宋_GB2312" w:cs="仿宋"/>
          <w:sz w:val="30"/>
          <w:szCs w:val="30"/>
        </w:rPr>
        <w:t xml:space="preserve"> 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申请人如不服本决定，可在收到本复议决定书之日起十五日内向人民法院起诉。</w:t>
      </w:r>
      <w:r>
        <w:rPr>
          <w:rFonts w:hint="eastAsia" w:ascii="仿宋_GB2312" w:hAnsi="仿宋" w:eastAsia="仿宋_GB2312" w:cs="仿宋"/>
          <w:sz w:val="30"/>
          <w:szCs w:val="30"/>
        </w:rPr>
        <w:t xml:space="preserve"> </w:t>
      </w:r>
    </w:p>
    <w:p>
      <w:pPr>
        <w:tabs>
          <w:tab w:val="left" w:pos="6510"/>
        </w:tabs>
        <w:snapToGrid w:val="0"/>
        <w:spacing w:line="560" w:lineRule="exact"/>
        <w:ind w:firstLine="600" w:firstLineChars="200"/>
        <w:jc w:val="left"/>
        <w:rPr>
          <w:rFonts w:ascii="仿宋_GB2312" w:hAnsi="仿宋_GB2312" w:eastAsia="仿宋_GB2312" w:cs="仿宋_GB2312"/>
          <w:kern w:val="0"/>
          <w:sz w:val="30"/>
          <w:szCs w:val="30"/>
        </w:rPr>
      </w:pPr>
    </w:p>
    <w:p>
      <w:pPr>
        <w:tabs>
          <w:tab w:val="left" w:pos="6510"/>
        </w:tabs>
        <w:snapToGrid w:val="0"/>
        <w:spacing w:line="560" w:lineRule="exact"/>
        <w:ind w:firstLine="600" w:firstLineChars="200"/>
        <w:jc w:val="left"/>
        <w:rPr>
          <w:rFonts w:ascii="仿宋_GB2312" w:hAnsi="仿宋_GB2312" w:eastAsia="仿宋_GB2312" w:cs="仿宋_GB2312"/>
          <w:kern w:val="0"/>
          <w:sz w:val="30"/>
          <w:szCs w:val="30"/>
        </w:rPr>
      </w:pPr>
    </w:p>
    <w:p>
      <w:pPr>
        <w:tabs>
          <w:tab w:val="left" w:pos="6510"/>
        </w:tabs>
        <w:snapToGrid w:val="0"/>
        <w:spacing w:line="560" w:lineRule="exact"/>
        <w:ind w:firstLine="600" w:firstLineChars="200"/>
        <w:jc w:val="left"/>
        <w:rPr>
          <w:rFonts w:ascii="仿宋_GB2312" w:hAnsi="仿宋" w:eastAsia="仿宋_GB2312" w:cs="仿宋"/>
          <w:sz w:val="30"/>
          <w:szCs w:val="30"/>
        </w:rPr>
      </w:pPr>
    </w:p>
    <w:p>
      <w:pPr>
        <w:tabs>
          <w:tab w:val="left" w:pos="6510"/>
        </w:tabs>
        <w:snapToGrid w:val="0"/>
        <w:spacing w:line="560" w:lineRule="exact"/>
        <w:ind w:firstLine="600" w:firstLineChars="200"/>
        <w:jc w:val="right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 xml:space="preserve">                        </w:t>
      </w:r>
      <w:bookmarkStart w:id="1" w:name="OLE_LINK3"/>
      <w:r>
        <w:rPr>
          <w:rFonts w:hint="eastAsia" w:ascii="仿宋_GB2312" w:hAnsi="仿宋" w:eastAsia="仿宋_GB2312" w:cs="仿宋"/>
          <w:sz w:val="30"/>
          <w:szCs w:val="30"/>
        </w:rPr>
        <w:t>二〇二六年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六</w:t>
      </w:r>
      <w:r>
        <w:rPr>
          <w:rFonts w:hint="eastAsia" w:ascii="仿宋_GB2312" w:hAnsi="仿宋" w:eastAsia="仿宋_GB2312" w:cs="仿宋"/>
          <w:sz w:val="30"/>
          <w:szCs w:val="30"/>
        </w:rPr>
        <w:t>月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十七</w:t>
      </w:r>
      <w:r>
        <w:rPr>
          <w:rFonts w:hint="eastAsia" w:ascii="仿宋_GB2312" w:hAnsi="仿宋" w:eastAsia="仿宋_GB2312" w:cs="仿宋"/>
          <w:sz w:val="30"/>
          <w:szCs w:val="30"/>
        </w:rPr>
        <w:t>日</w:t>
      </w:r>
      <w:bookmarkEnd w:id="1"/>
    </w:p>
    <w:p>
      <w:pPr>
        <w:tabs>
          <w:tab w:val="left" w:pos="6510"/>
        </w:tabs>
        <w:snapToGrid w:val="0"/>
        <w:spacing w:line="560" w:lineRule="exact"/>
        <w:jc w:val="left"/>
        <w:rPr>
          <w:rFonts w:ascii="仿宋_GB2312" w:hAnsi="仿宋" w:eastAsia="仿宋_GB2312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bidi w:val="0"/>
        <w:adjustRightInd/>
        <w:snapToGrid w:val="0"/>
        <w:spacing w:line="240" w:lineRule="auto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bidi w:val="0"/>
        <w:adjustRightInd/>
        <w:snapToGrid w:val="0"/>
        <w:spacing w:line="240" w:lineRule="auto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bidi w:val="0"/>
        <w:adjustRightInd/>
        <w:snapToGrid w:val="0"/>
        <w:spacing w:line="240" w:lineRule="auto"/>
        <w:jc w:val="left"/>
        <w:textAlignment w:val="auto"/>
        <w:rPr>
          <w:rFonts w:ascii="楷体_GB2312" w:hAnsi="楷体_GB2312" w:eastAsia="楷体_GB2312" w:cs="楷体_GB2312"/>
          <w:b/>
          <w:bCs/>
          <w:sz w:val="24"/>
        </w:rPr>
      </w:pPr>
      <w:r>
        <w:rPr>
          <w:rFonts w:hint="eastAsia" w:ascii="楷体_GB2312" w:hAnsi="楷体_GB2312" w:eastAsia="楷体_GB2312" w:cs="楷体_GB2312"/>
          <w:b/>
          <w:bCs/>
          <w:sz w:val="24"/>
        </w:rPr>
        <w:t>附：主要法律条文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400" w:lineRule="exact"/>
        <w:textAlignment w:val="auto"/>
        <w:rPr>
          <w:rFonts w:ascii="楷体_GB2312" w:hAnsi="楷体_GB2312" w:eastAsia="楷体_GB2312" w:cs="楷体_GB2312"/>
          <w:sz w:val="24"/>
        </w:rPr>
      </w:pPr>
      <w:r>
        <w:rPr>
          <w:rFonts w:ascii="仿宋_GB2312" w:hAnsi="仿宋_GB2312" w:eastAsia="仿宋_GB2312" w:cs="楷体_GB2312"/>
          <w:sz w:val="24"/>
        </w:rPr>
        <w:t>　</w:t>
      </w:r>
      <w:r>
        <w:rPr>
          <w:rFonts w:ascii="楷体" w:hAnsi="楷体" w:eastAsia="楷体" w:cs="楷体_GB2312"/>
          <w:sz w:val="24"/>
        </w:rPr>
        <w:t>　</w:t>
      </w:r>
      <w:r>
        <w:rPr>
          <w:rFonts w:hint="eastAsia" w:ascii="楷体_GB2312" w:hAnsi="楷体_GB2312" w:eastAsia="楷体_GB2312" w:cs="楷体_GB2312"/>
          <w:sz w:val="24"/>
        </w:rPr>
        <w:t>一、《中华人民共和国行政复议法》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400" w:lineRule="exact"/>
        <w:textAlignment w:val="auto"/>
        <w:rPr>
          <w:rFonts w:ascii="楷体_GB2312" w:hAnsi="楷体_GB2312" w:eastAsia="楷体_GB2312" w:cs="楷体_GB2312"/>
          <w:sz w:val="24"/>
        </w:rPr>
      </w:pPr>
      <w:r>
        <w:rPr>
          <w:rFonts w:ascii="仿宋_GB2312" w:hAnsi="仿宋_GB2312" w:eastAsia="仿宋_GB2312" w:cs="楷体_GB2312"/>
          <w:sz w:val="24"/>
        </w:rPr>
        <w:t>　</w:t>
      </w:r>
      <w:r>
        <w:rPr>
          <w:rFonts w:ascii="楷体" w:hAnsi="楷体" w:eastAsia="楷体" w:cs="楷体_GB2312"/>
          <w:sz w:val="24"/>
        </w:rPr>
        <w:t>　</w:t>
      </w:r>
      <w:r>
        <w:rPr>
          <w:rFonts w:hint="eastAsia" w:ascii="楷体_GB2312" w:hAnsi="楷体_GB2312" w:eastAsia="楷体_GB2312" w:cs="楷体_GB2312"/>
          <w:sz w:val="24"/>
        </w:rPr>
        <w:t>第六十八条　行政行为认定事实清楚，证据确凿，适用依据正确，程序合法，内容适当的，行政复议机关决定维持该行政行为。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400" w:lineRule="exact"/>
        <w:textAlignment w:val="auto"/>
        <w:rPr>
          <w:rFonts w:ascii="楷体_GB2312" w:hAnsi="楷体_GB2312" w:eastAsia="楷体_GB2312" w:cs="楷体_GB2312"/>
          <w:sz w:val="24"/>
        </w:rPr>
      </w:pPr>
      <w:r>
        <w:rPr>
          <w:rFonts w:ascii="仿宋_GB2312" w:hAnsi="仿宋_GB2312" w:eastAsia="仿宋_GB2312" w:cs="楷体_GB2312"/>
          <w:sz w:val="24"/>
        </w:rPr>
        <w:t>　</w:t>
      </w:r>
      <w:r>
        <w:rPr>
          <w:rFonts w:ascii="楷体" w:hAnsi="楷体" w:eastAsia="楷体" w:cs="楷体_GB2312"/>
          <w:sz w:val="24"/>
        </w:rPr>
        <w:t>　</w:t>
      </w:r>
      <w:r>
        <w:rPr>
          <w:rFonts w:hint="eastAsia" w:ascii="楷体_GB2312" w:hAnsi="楷体_GB2312" w:eastAsia="楷体_GB2312" w:cs="楷体_GB2312"/>
          <w:sz w:val="24"/>
        </w:rPr>
        <w:t>二、《中华人民共和国道路交通安全法》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400" w:lineRule="exact"/>
        <w:textAlignment w:val="auto"/>
        <w:rPr>
          <w:rFonts w:ascii="楷体_GB2312" w:hAnsi="楷体_GB2312" w:eastAsia="楷体_GB2312" w:cs="楷体_GB2312"/>
          <w:sz w:val="24"/>
        </w:rPr>
      </w:pPr>
      <w:r>
        <w:rPr>
          <w:rFonts w:ascii="仿宋_GB2312" w:hAnsi="仿宋_GB2312" w:eastAsia="仿宋_GB2312" w:cs="楷体_GB2312"/>
          <w:sz w:val="24"/>
        </w:rPr>
        <w:t>　</w:t>
      </w:r>
      <w:r>
        <w:rPr>
          <w:rFonts w:ascii="楷体" w:hAnsi="楷体" w:eastAsia="楷体" w:cs="楷体_GB2312"/>
          <w:sz w:val="24"/>
        </w:rPr>
        <w:t>　</w:t>
      </w:r>
      <w:r>
        <w:rPr>
          <w:rFonts w:hint="eastAsia" w:ascii="楷体_GB2312" w:hAnsi="楷体_GB2312" w:eastAsia="楷体_GB2312" w:cs="楷体_GB2312"/>
          <w:sz w:val="24"/>
        </w:rPr>
        <w:t>第五十七条　驾驶非机动车在道路上行驶应当遵守有关交通安全的规定。非机动车应当在非机动车道内行驶；在没有非机动车道的道路上，应当靠车行道的右侧行驶。</w:t>
      </w:r>
    </w:p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400" w:lineRule="exact"/>
        <w:textAlignment w:val="auto"/>
        <w:rPr>
          <w:rFonts w:ascii="楷体_GB2312" w:hAnsi="楷体_GB2312" w:eastAsia="楷体_GB2312" w:cs="楷体_GB2312"/>
          <w:sz w:val="24"/>
        </w:rPr>
      </w:pPr>
      <w:r>
        <w:rPr>
          <w:rFonts w:ascii="仿宋_GB2312" w:hAnsi="仿宋_GB2312" w:eastAsia="仿宋_GB2312" w:cs="楷体_GB2312"/>
          <w:sz w:val="24"/>
        </w:rPr>
        <w:t>　</w:t>
      </w:r>
      <w:r>
        <w:rPr>
          <w:rFonts w:ascii="楷体" w:hAnsi="楷体" w:eastAsia="楷体" w:cs="楷体_GB2312"/>
          <w:sz w:val="24"/>
        </w:rPr>
        <w:t>　</w:t>
      </w:r>
      <w:r>
        <w:rPr>
          <w:rFonts w:hint="eastAsia" w:ascii="楷体_GB2312" w:hAnsi="楷体_GB2312" w:eastAsia="楷体_GB2312" w:cs="楷体_GB2312"/>
          <w:sz w:val="24"/>
        </w:rPr>
        <w:t>第八十九条　行人、乘车人、非机动车驾驶人违反道路交通安全法律、法规关于道路通行规定的，处警告或者五元以上五十元以下罚款；非机动车驾驶人拒绝接受罚款处罚的，可以扣留其非机动车。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line="240" w:lineRule="auto"/>
        <w:textAlignment w:val="auto"/>
      </w:pPr>
    </w:p>
    <w:p>
      <w:pPr>
        <w:spacing w:line="240" w:lineRule="auto"/>
      </w:pPr>
    </w:p>
    <w:p/>
    <w:p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iberation Sans">
    <w:panose1 w:val="020B0604020202020204"/>
    <w:charset w:val="00"/>
    <w:family w:val="swiss"/>
    <w:pitch w:val="default"/>
    <w:sig w:usb0="A00002AF" w:usb1="500078FB" w:usb2="00000000" w:usb3="00000000" w:csb0="6000009F" w:csb1="DFD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方正楷体_GBK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10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-78105</wp:posOffset>
              </wp:positionV>
              <wp:extent cx="300355" cy="209550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355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rect id="文本框1" o:spid="_x0000_s1026" o:spt="1" style="position:absolute;left:0pt;margin-top:-6.15pt;height:16.5pt;width:23.65pt;mso-position-horizontal:center;mso-position-horizontal-relative:margin;z-index:1024;mso-width-relative:page;mso-height-relative:page;" filled="f" stroked="f" coordsize="21600,21600" o:gfxdata="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WAAAAZHJzL1BLAQIUABQAAAAIAIdO4kA7AvFI&#10;2AAAAAYBAAAPAAAAAAAAAAEAIAAAADgAAABkcnMvZG93bnJldi54bWxQSwECFAAUAAAACACHTuJA&#10;YdbX6JkBAAAbAwAADgAAAAAAAAABACAAAAA9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"/>
  <w:drawingGridVerticalSpacing w:val="1"/>
  <w:displayHorizontalDrawingGridEvery w:val="0"/>
  <w:displayVerticalDrawingGridEvery w:val="0"/>
  <w:doNotUseMarginsForDrawingGridOrigin w:val="true"/>
  <w:drawingGridHorizontalOrigin w:val="0"/>
  <w:drawingGridVerticalOrigin w:val="0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5DF"/>
    <w:rsid w:val="000318A7"/>
    <w:rsid w:val="00037AF8"/>
    <w:rsid w:val="0007348C"/>
    <w:rsid w:val="000A503F"/>
    <w:rsid w:val="000B07A6"/>
    <w:rsid w:val="000B61B1"/>
    <w:rsid w:val="000D33CF"/>
    <w:rsid w:val="000F2C89"/>
    <w:rsid w:val="00106EA5"/>
    <w:rsid w:val="001120AE"/>
    <w:rsid w:val="001303CC"/>
    <w:rsid w:val="00135E4A"/>
    <w:rsid w:val="00143EA6"/>
    <w:rsid w:val="00235DBB"/>
    <w:rsid w:val="00256B3B"/>
    <w:rsid w:val="00272B36"/>
    <w:rsid w:val="002A6620"/>
    <w:rsid w:val="00321410"/>
    <w:rsid w:val="0032721F"/>
    <w:rsid w:val="003315DF"/>
    <w:rsid w:val="00380F18"/>
    <w:rsid w:val="00400F48"/>
    <w:rsid w:val="00486C92"/>
    <w:rsid w:val="00492608"/>
    <w:rsid w:val="00492F6F"/>
    <w:rsid w:val="004A0876"/>
    <w:rsid w:val="004B5E8F"/>
    <w:rsid w:val="004C4647"/>
    <w:rsid w:val="004C6DE4"/>
    <w:rsid w:val="004F27AA"/>
    <w:rsid w:val="00522A0D"/>
    <w:rsid w:val="00557998"/>
    <w:rsid w:val="005C2C8C"/>
    <w:rsid w:val="005C4EFA"/>
    <w:rsid w:val="005D2B77"/>
    <w:rsid w:val="00693EA1"/>
    <w:rsid w:val="00730B4D"/>
    <w:rsid w:val="0074277F"/>
    <w:rsid w:val="00754004"/>
    <w:rsid w:val="008228E6"/>
    <w:rsid w:val="0087792F"/>
    <w:rsid w:val="00881BA1"/>
    <w:rsid w:val="00905459"/>
    <w:rsid w:val="009143ED"/>
    <w:rsid w:val="00937577"/>
    <w:rsid w:val="009453C3"/>
    <w:rsid w:val="009704D1"/>
    <w:rsid w:val="00974BE6"/>
    <w:rsid w:val="00987BC4"/>
    <w:rsid w:val="009B11E2"/>
    <w:rsid w:val="009E48BF"/>
    <w:rsid w:val="009F39B3"/>
    <w:rsid w:val="009F4FED"/>
    <w:rsid w:val="00A04A47"/>
    <w:rsid w:val="00AA1FC8"/>
    <w:rsid w:val="00AB6972"/>
    <w:rsid w:val="00B225F8"/>
    <w:rsid w:val="00B6589C"/>
    <w:rsid w:val="00BA65CE"/>
    <w:rsid w:val="00BF7E23"/>
    <w:rsid w:val="00C03331"/>
    <w:rsid w:val="00C15691"/>
    <w:rsid w:val="00C35E90"/>
    <w:rsid w:val="00C84872"/>
    <w:rsid w:val="00D017FD"/>
    <w:rsid w:val="00D40583"/>
    <w:rsid w:val="00D6314E"/>
    <w:rsid w:val="00D6432A"/>
    <w:rsid w:val="00D72029"/>
    <w:rsid w:val="00DF6499"/>
    <w:rsid w:val="00E04361"/>
    <w:rsid w:val="00E10524"/>
    <w:rsid w:val="00E30F1A"/>
    <w:rsid w:val="00E81840"/>
    <w:rsid w:val="00E91560"/>
    <w:rsid w:val="00EE306E"/>
    <w:rsid w:val="00EF5A7A"/>
    <w:rsid w:val="00F002B9"/>
    <w:rsid w:val="00F14067"/>
    <w:rsid w:val="00F86F27"/>
    <w:rsid w:val="0ACF8DCF"/>
    <w:rsid w:val="1EDF0318"/>
    <w:rsid w:val="1EEBD36C"/>
    <w:rsid w:val="1FB791F7"/>
    <w:rsid w:val="2F5FE729"/>
    <w:rsid w:val="2FBFCFBA"/>
    <w:rsid w:val="4A5CD2AC"/>
    <w:rsid w:val="4F2BD436"/>
    <w:rsid w:val="4F4F8818"/>
    <w:rsid w:val="4FFCE9FA"/>
    <w:rsid w:val="4FFF98CD"/>
    <w:rsid w:val="59CF8FCF"/>
    <w:rsid w:val="5DD5E62A"/>
    <w:rsid w:val="5EFAB96F"/>
    <w:rsid w:val="5FBFF9D6"/>
    <w:rsid w:val="5FFC58F7"/>
    <w:rsid w:val="5FFFA9CE"/>
    <w:rsid w:val="635FD3ED"/>
    <w:rsid w:val="67AF5202"/>
    <w:rsid w:val="69EB0F73"/>
    <w:rsid w:val="6BFB3E26"/>
    <w:rsid w:val="77534271"/>
    <w:rsid w:val="77FC51A4"/>
    <w:rsid w:val="77FF2E12"/>
    <w:rsid w:val="79F9B0B2"/>
    <w:rsid w:val="7A1EA615"/>
    <w:rsid w:val="7B4D75CC"/>
    <w:rsid w:val="7C7DC003"/>
    <w:rsid w:val="7C7F3E65"/>
    <w:rsid w:val="7D37E7B3"/>
    <w:rsid w:val="7F2F7991"/>
    <w:rsid w:val="7FA7A250"/>
    <w:rsid w:val="7FBBA137"/>
    <w:rsid w:val="7FBE97F7"/>
    <w:rsid w:val="7FCE9610"/>
    <w:rsid w:val="7FEAE41D"/>
    <w:rsid w:val="7FEDFB75"/>
    <w:rsid w:val="7FFDC023"/>
    <w:rsid w:val="7FFFD012"/>
    <w:rsid w:val="987DCA94"/>
    <w:rsid w:val="A7AFF2A4"/>
    <w:rsid w:val="ABFD68BB"/>
    <w:rsid w:val="AFEA5EEA"/>
    <w:rsid w:val="AFFD1802"/>
    <w:rsid w:val="B36FC09C"/>
    <w:rsid w:val="B45F649F"/>
    <w:rsid w:val="B7BB31D0"/>
    <w:rsid w:val="BCEEDFDD"/>
    <w:rsid w:val="CDFF993A"/>
    <w:rsid w:val="CE659CA4"/>
    <w:rsid w:val="CEFEDD13"/>
    <w:rsid w:val="CF594729"/>
    <w:rsid w:val="D5FBBCA2"/>
    <w:rsid w:val="D7773FFE"/>
    <w:rsid w:val="D7DB9CE1"/>
    <w:rsid w:val="DD7732EE"/>
    <w:rsid w:val="DEFDEA86"/>
    <w:rsid w:val="DFEDE5B6"/>
    <w:rsid w:val="DFEE8321"/>
    <w:rsid w:val="EAFF6C0C"/>
    <w:rsid w:val="EBC701EE"/>
    <w:rsid w:val="EBCDE539"/>
    <w:rsid w:val="EECDBA2B"/>
    <w:rsid w:val="EF3CCE61"/>
    <w:rsid w:val="EFBFB243"/>
    <w:rsid w:val="F0899D6B"/>
    <w:rsid w:val="F2DF4D55"/>
    <w:rsid w:val="F3BD4F10"/>
    <w:rsid w:val="F537ADD3"/>
    <w:rsid w:val="F9FB912B"/>
    <w:rsid w:val="FABF168A"/>
    <w:rsid w:val="FB9FDF11"/>
    <w:rsid w:val="FBFB71C7"/>
    <w:rsid w:val="FEE726BC"/>
    <w:rsid w:val="FF7DF2D6"/>
    <w:rsid w:val="FFDE2B88"/>
    <w:rsid w:val="FFFF15C7"/>
    <w:rsid w:val="FFFF496C"/>
    <w:rsid w:val="FFFF61F7"/>
    <w:rsid w:val="FF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suppressLineNumbers/>
      <w:spacing w:before="120" w:after="120"/>
    </w:pPr>
    <w:rPr>
      <w:i/>
      <w:iCs/>
      <w:sz w:val="24"/>
    </w:rPr>
  </w:style>
  <w:style w:type="paragraph" w:styleId="3">
    <w:name w:val="Body Text"/>
    <w:basedOn w:val="1"/>
    <w:qFormat/>
    <w:uiPriority w:val="0"/>
    <w:pPr>
      <w:spacing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List"/>
    <w:basedOn w:val="3"/>
    <w:qFormat/>
    <w:uiPriority w:val="0"/>
  </w:style>
  <w:style w:type="paragraph" w:styleId="7">
    <w:name w:val="HTML Preformatted"/>
    <w:basedOn w:val="1"/>
    <w:link w:val="13"/>
    <w:qFormat/>
    <w:uiPriority w:val="0"/>
    <w:rPr>
      <w:rFonts w:ascii="Courier New" w:hAnsi="Courier New" w:cs="Courier New"/>
      <w:sz w:val="20"/>
      <w:szCs w:val="20"/>
    </w:rPr>
  </w:style>
  <w:style w:type="character" w:customStyle="1" w:styleId="10">
    <w:name w:val="默认段落字体1"/>
    <w:qFormat/>
    <w:uiPriority w:val="0"/>
  </w:style>
  <w:style w:type="paragraph" w:customStyle="1" w:styleId="11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 Regular" w:cs="Noto Sans CJK SC Regular"/>
      <w:sz w:val="28"/>
      <w:szCs w:val="28"/>
    </w:rPr>
  </w:style>
  <w:style w:type="paragraph" w:customStyle="1" w:styleId="12">
    <w:name w:val="Index"/>
    <w:basedOn w:val="1"/>
    <w:qFormat/>
    <w:uiPriority w:val="0"/>
    <w:pPr>
      <w:suppressLineNumbers/>
    </w:pPr>
  </w:style>
  <w:style w:type="character" w:customStyle="1" w:styleId="13">
    <w:name w:val="HTML 预设格式 字符"/>
    <w:link w:val="7"/>
    <w:qFormat/>
    <w:uiPriority w:val="0"/>
    <w:rPr>
      <w:rFonts w:ascii="Courier New" w:hAnsi="Courier New" w:cs="Courier New"/>
      <w:kern w:val="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</Words>
  <Characters>485</Characters>
  <Lines>4</Lines>
  <Paragraphs>1</Paragraphs>
  <TotalTime>147</TotalTime>
  <ScaleCrop>false</ScaleCrop>
  <LinksUpToDate>false</LinksUpToDate>
  <CharactersWithSpaces>569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2025-04-29T00:02:00Z</dcterms:created>
  <dc:creator>uos</dc:creator>
  <cp:lastModifiedBy>lenovo</cp:lastModifiedBy>
  <dcterms:modified xsi:type="dcterms:W3CDTF">2026-10-16T08:49:41Z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