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附件1：</w:t>
      </w:r>
    </w:p>
    <w:p>
      <w:pPr>
        <w:jc w:val="center"/>
        <w:rPr>
          <w:rFonts w:hint="eastAsia" w:ascii="宋体" w:hAnsi="Times New Roman" w:eastAsia="宋体" w:cs="Times New Roman"/>
          <w:b/>
          <w:sz w:val="44"/>
          <w:szCs w:val="20"/>
          <w:lang w:val="en-US" w:eastAsia="zh-CN"/>
        </w:rPr>
      </w:pPr>
    </w:p>
    <w:p>
      <w:pPr>
        <w:jc w:val="center"/>
        <w:rPr>
          <w:rFonts w:hint="eastAsia" w:ascii="宋体" w:hAnsi="Times New Roman" w:eastAsia="宋体" w:cs="Times New Roman"/>
          <w:b/>
          <w:sz w:val="44"/>
          <w:szCs w:val="20"/>
        </w:rPr>
      </w:pPr>
      <w:r>
        <w:rPr>
          <w:rFonts w:hint="eastAsia" w:ascii="宋体" w:hAnsi="Times New Roman" w:eastAsia="宋体" w:cs="Times New Roman"/>
          <w:b/>
          <w:sz w:val="44"/>
          <w:szCs w:val="20"/>
          <w:lang w:val="en-US" w:eastAsia="zh-CN"/>
        </w:rPr>
        <w:t>无违建居村（街镇）创建标准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1、坚持“公字头”违建带头拆除：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除用于公共服务且暂无替代场所的违建外，街道及国资所属违建应带头拆除，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eastAsia="zh-CN"/>
        </w:rPr>
        <w:t>体制机制健全，社会动员广泛，档案资料完备，工作扎实有力。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2、坚持新增违建“零容忍”：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eastAsia="zh-CN"/>
        </w:rPr>
        <w:t>无新增违法建筑，违法建筑巡查发现机制健全，能及时发现、及时制止、快速拆除、从严处罚新建违法建筑。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3、坚持存量违建“六必拆”：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eastAsia="zh-CN"/>
        </w:rPr>
        <w:t>消除重点类型存量违法建筑。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一是涉及“五违”问题的违法建筑：在违法用地上搭建的、存在违法经营的、存在违法排污的、存在违法居住的；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二是影响城市安全的违法建筑，存在安全隐患的，高压线、高铁线路、高架道路以及燃气、原水、输油等管线保护区内的；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三是侵占公共空间的违法建筑：侵占道路、河道、消防通道、公共绿地的，在商务、商业楼顶搭建的；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四是影响重大工程建设的；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五是住宅小区内妨碍相邻关系的；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六是人民群众反映强烈、各级政府督办的、被媒体曝光的违法建筑。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</w:rPr>
        <w:t>4、</w:t>
      </w: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坚持住宅小区内及</w:t>
      </w: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eastAsia="zh-CN"/>
        </w:rPr>
        <w:t>沿街</w:t>
      </w: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</w:rPr>
        <w:t>“居改非”</w:t>
      </w: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同步整治：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在小区拆违的同时，对小区内及其周边的破墙开店，非法经营，占绿毁绿等“居改非”进行同步整治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eastAsia="zh-CN"/>
        </w:rPr>
        <w:t>，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形成联动效益。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</w:rPr>
        <w:t>5、</w:t>
      </w: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坚持整治标准相对统一：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对小区内用于公共服务的车棚、门卫、居委会及居民活动室等违建，向区拆违办报备后暂缓拆除；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对“不出租经营、不影响环境、不影响邻里、不存在安全隐患”的天井违建、楼顶违建暂缓拆除；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三是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对区属企业的商业网点等违建，报区相关部门处置；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四是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小区拆违与周边沿街“居改非”商铺同步整治；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六是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天井围墙复建高度、式样、涂料颜色应根据小区实际，相对统一，空调、落水管等设备安装要统一、美观。</w:t>
      </w:r>
    </w:p>
    <w:p>
      <w:pPr>
        <w:spacing w:line="540" w:lineRule="exact"/>
        <w:ind w:firstLine="616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198"/>
    <w:multiLevelType w:val="multilevel"/>
    <w:tmpl w:val="0CFC4198"/>
    <w:lvl w:ilvl="0" w:tentative="0">
      <w:start w:val="1"/>
      <w:numFmt w:val="japaneseCounting"/>
      <w:pStyle w:val="6"/>
      <w:lvlText w:val="%1、"/>
      <w:lvlJc w:val="left"/>
      <w:pPr>
        <w:ind w:left="1287" w:hanging="720"/>
      </w:pPr>
      <w:rPr>
        <w:rFonts w:ascii="仿宋" w:hAnsi="仿宋" w:eastAsia="仿宋" w:cs="Times New Roman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9"/>
    <w:rsid w:val="005E136B"/>
    <w:rsid w:val="00A35109"/>
    <w:rsid w:val="00AD433D"/>
    <w:rsid w:val="00B12362"/>
    <w:rsid w:val="0C357420"/>
    <w:rsid w:val="146467B2"/>
    <w:rsid w:val="45834F86"/>
    <w:rsid w:val="53FD0924"/>
    <w:rsid w:val="662B5ADF"/>
    <w:rsid w:val="70C93799"/>
    <w:rsid w:val="7D0D65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21"/>
    <w:basedOn w:val="1"/>
    <w:qFormat/>
    <w:uiPriority w:val="34"/>
    <w:pPr>
      <w:numPr>
        <w:ilvl w:val="0"/>
        <w:numId w:val="1"/>
      </w:numPr>
      <w:jc w:val="left"/>
    </w:pPr>
    <w:rPr>
      <w:rFonts w:ascii="仿宋" w:hAnsi="仿宋" w:eastAsia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ScaleCrop>false</ScaleCrop>
  <LinksUpToDate>false</LinksUpToDate>
  <CharactersWithSpaces>471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taoying</dc:creator>
  <cp:lastModifiedBy>普陀区人民政府专用版</cp:lastModifiedBy>
  <cp:lastPrinted>2017-12-14T01:43:40Z</cp:lastPrinted>
  <dcterms:modified xsi:type="dcterms:W3CDTF">2017-12-14T01:51:28Z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