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附件1</w:t>
      </w:r>
    </w:p>
    <w:tbl>
      <w:tblPr>
        <w:tblStyle w:val="8"/>
        <w:tblW w:w="100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1080"/>
        <w:gridCol w:w="700"/>
        <w:gridCol w:w="3520"/>
        <w:gridCol w:w="1080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33FF"/>
                <w:sz w:val="16"/>
              </w:rPr>
            </w:pPr>
            <w:r>
              <w:rPr>
                <w:rFonts w:hint="eastAsia" w:ascii="宋体" w:hAnsi="宋体"/>
                <w:color w:val="auto"/>
                <w:sz w:val="36"/>
              </w:rPr>
              <w:t xml:space="preserve"> 文艺表演团体基本情况年报(2018)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b/>
                <w:color w:val="auto"/>
                <w:sz w:val="20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0"/>
              </w:rPr>
              <w:t xml:space="preserve">                                                                      </w:t>
            </w:r>
            <w:r>
              <w:rPr>
                <w:rFonts w:hint="eastAsia" w:ascii="仿宋" w:hAnsi="仿宋" w:eastAsia="仿宋"/>
                <w:color w:val="auto"/>
                <w:sz w:val="20"/>
              </w:rPr>
              <w:t xml:space="preserve"> 表    号：文   基   7-3  表</w:t>
            </w:r>
          </w:p>
          <w:p>
            <w:pPr>
              <w:spacing w:beforeLines="0" w:afterLines="0"/>
              <w:rPr>
                <w:rFonts w:hint="default" w:ascii="仿宋" w:hAnsi="仿宋" w:eastAsia="仿宋"/>
                <w:b/>
                <w:color w:val="auto"/>
                <w:sz w:val="20"/>
              </w:rPr>
            </w:pPr>
          </w:p>
          <w:p>
            <w:pPr>
              <w:spacing w:beforeLines="0" w:afterLines="0"/>
              <w:rPr>
                <w:rFonts w:hint="default" w:ascii="仿宋" w:hAnsi="仿宋" w:eastAsia="仿宋"/>
                <w:color w:val="0033FF"/>
                <w:sz w:val="16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单位名称: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社会统一信用码：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邮政编码：</w:t>
            </w:r>
          </w:p>
        </w:tc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电话(区号</w:t>
            </w:r>
            <w:r>
              <w:rPr>
                <w:rFonts w:hint="default" w:ascii="仿宋" w:hAnsi="仿宋" w:eastAsia="仿宋"/>
                <w:sz w:val="22"/>
              </w:rPr>
              <w:t>-</w:t>
            </w:r>
            <w:r>
              <w:rPr>
                <w:rFonts w:hint="eastAsia" w:ascii="仿宋" w:hAnsi="仿宋" w:eastAsia="仿宋"/>
                <w:sz w:val="22"/>
              </w:rPr>
              <w:t>电话号)：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行业代码（注1）：</w:t>
            </w:r>
          </w:p>
        </w:tc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登记注册类型（注2）：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所有制判别（注3）：</w:t>
            </w:r>
          </w:p>
        </w:tc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活动状态（注4）：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上报因素（注5）：</w:t>
            </w:r>
          </w:p>
        </w:tc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剧种分类（注6）：</w:t>
            </w:r>
          </w:p>
        </w:tc>
        <w:tc>
          <w:tcPr>
            <w:tcW w:w="17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详细地址：</w:t>
            </w:r>
          </w:p>
        </w:tc>
        <w:tc>
          <w:tcPr>
            <w:tcW w:w="753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街（乡、镇）           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0033FF"/>
                <w:sz w:val="16"/>
              </w:rPr>
            </w:pPr>
            <w:r>
              <w:rPr>
                <w:rFonts w:hint="eastAsia" w:ascii="黑体" w:hAnsi="黑体" w:eastAsia="黑体"/>
                <w:color w:val="auto"/>
                <w:sz w:val="28"/>
              </w:rPr>
              <w:t>专项信息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从业人员：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人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国内演出观众人次：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专业技术人才：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人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 xml:space="preserve">    农村观众人次：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演员数：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人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实际使用房屋建筑面积：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国内演出场次：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场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 xml:space="preserve">  农村演出场次：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场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国外演出场次：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  <w:r>
              <w:rPr>
                <w:rFonts w:hint="eastAsia" w:ascii="仿宋" w:hAnsi="仿宋" w:eastAsia="仿宋"/>
                <w:color w:val="auto"/>
                <w:sz w:val="22"/>
              </w:rPr>
              <w:t>场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09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color w:val="0033FF"/>
                <w:sz w:val="16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</w:rPr>
              <w:t>财务信息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资产总计：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营业外收入：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政府补贴：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企业赞助收入：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营业成本：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演出收入：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933" w:leftChars="168" w:hanging="2530" w:hangingChars="115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养老、医疗、失业等各种社会保险费：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其中农村演出收入：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283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本年发放工资总额：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其中城市演出收入：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eastAsia" w:ascii="仿宋" w:hAnsi="仿宋" w:eastAsia="仿宋"/>
                <w:sz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本年应交税金总额：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其中国外演出收入：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营业利润：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其中国外演出利润：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万元</w:t>
            </w:r>
          </w:p>
        </w:tc>
        <w:tc>
          <w:tcPr>
            <w:tcW w:w="3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ind w:left="56"/>
              <w:rPr>
                <w:rFonts w:hint="default" w:ascii="仿宋" w:hAnsi="仿宋" w:eastAsia="仿宋"/>
                <w:sz w:val="22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仿宋" w:hAnsi="仿宋" w:eastAsia="仿宋"/>
                <w:sz w:val="22"/>
              </w:rPr>
            </w:pPr>
          </w:p>
        </w:tc>
      </w:tr>
    </w:tbl>
    <w:p>
      <w:pPr>
        <w:spacing w:beforeLines="0" w:afterLines="0"/>
        <w:rPr>
          <w:rFonts w:hint="default" w:ascii="仿宋" w:hAnsi="仿宋" w:eastAsia="仿宋"/>
          <w:sz w:val="24"/>
        </w:rPr>
      </w:pPr>
    </w:p>
    <w:p>
      <w:pPr>
        <w:spacing w:beforeLines="0" w:afterLines="0"/>
        <w:rPr>
          <w:rFonts w:hint="default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填表人：                             手机：</w:t>
      </w:r>
    </w:p>
    <w:p>
      <w:pPr>
        <w:spacing w:beforeLines="0" w:afterLines="0"/>
        <w:rPr>
          <w:rFonts w:hint="default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备注：</w:t>
      </w:r>
    </w:p>
    <w:p>
      <w:p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16"/>
        </w:rPr>
        <w:t>1</w:t>
      </w:r>
      <w:r>
        <w:rPr>
          <w:rFonts w:hint="eastAsia" w:ascii="仿宋" w:hAnsi="仿宋" w:eastAsia="仿宋"/>
          <w:sz w:val="20"/>
        </w:rPr>
        <w:t>、行业代码(单选)： 艺术表演团体、民营文艺表演团体。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登记注册类型(单选)：内资企业、国有企业、集体企业、股份合作、联营企业、有限责任公司、股份有限公司、私营企业、其他企业、港澳台商投资企业、外商投资企业。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所有制判别(单选)：公有制、非公有制。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活动状态(单选)：正常活动、暂停活动、筹建、撤销。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上报因素(单选)：连续上报、新增单位、上年应报未报、报表类别改变。</w:t>
      </w:r>
    </w:p>
    <w:p>
      <w:pPr>
        <w:numPr>
          <w:ilvl w:val="0"/>
          <w:numId w:val="1"/>
        </w:numPr>
        <w:spacing w:beforeLines="0" w:afterLines="0"/>
        <w:rPr>
          <w:rFonts w:hint="default" w:ascii="仿宋" w:hAnsi="仿宋" w:eastAsia="仿宋"/>
          <w:sz w:val="20"/>
        </w:rPr>
      </w:pPr>
      <w:r>
        <w:rPr>
          <w:rFonts w:hint="eastAsia" w:ascii="仿宋" w:hAnsi="仿宋" w:eastAsia="仿宋"/>
          <w:sz w:val="20"/>
        </w:rPr>
        <w:t>剧种分类(单选)：话剧、滑稽剧团、儿童剧团、歌剧、舞剧、歌舞剧、歌舞团、轻音乐团、少数民族歌舞团、乐团、合唱团、文工团、文宣团、乌兰牧骑、综合性表演团体、京剧、评剧、豫剧、河北梆子、晋剧、沪剧、越剧、昆剧、粤剧、淮剧、黄梅戏、秦腔、川剧、闽剧、吕剧、滇剧、花灯戏、其他戏曲剧组、曲艺、杂技、马戏、木偶、皮影。</w:t>
      </w:r>
    </w:p>
    <w:sectPr>
      <w:pgSz w:w="12260" w:h="17000"/>
      <w:pgMar w:top="1134" w:right="1100" w:bottom="1134" w:left="10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??_GB2312??a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0782"/>
    <w:multiLevelType w:val="multilevel"/>
    <w:tmpl w:val="565C0782"/>
    <w:lvl w:ilvl="0" w:tentative="0">
      <w:start w:val="2"/>
      <w:numFmt w:val="decimal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2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/>
      <w:color w:val="000000"/>
      <w:sz w:val="24"/>
      <w:lang w:val="en-US" w:eastAsia="zh-CN"/>
    </w:rPr>
  </w:style>
  <w:style w:type="paragraph" w:styleId="2">
    <w:name w:val="heading 1"/>
    <w:basedOn w:val="1"/>
    <w:link w:val="9"/>
    <w:unhideWhenUsed/>
    <w:qFormat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link w:val="10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link w:val="11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7">
    <w:name w:val="Default Paragraph Font"/>
    <w:unhideWhenUsed/>
    <w:uiPriority w:val="99"/>
    <w:rPr>
      <w:rFonts w:hint="default"/>
      <w:sz w:val="24"/>
    </w:rPr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9">
    <w:name w:val="标题 1 Char"/>
    <w:basedOn w:val="7"/>
    <w:link w:val="2"/>
    <w:unhideWhenUsed/>
    <w:locked/>
    <w:uiPriority w:val="9"/>
    <w:rPr>
      <w:rFonts w:hint="default" w:ascii="Arial"/>
      <w:b/>
      <w:color w:val="000000"/>
      <w:kern w:val="44"/>
      <w:sz w:val="44"/>
    </w:rPr>
  </w:style>
  <w:style w:type="character" w:customStyle="1" w:styleId="10">
    <w:name w:val="标题 2 Char"/>
    <w:basedOn w:val="7"/>
    <w:link w:val="3"/>
    <w:unhideWhenUsed/>
    <w:locked/>
    <w:uiPriority w:val="9"/>
    <w:rPr>
      <w:rFonts w:hint="eastAsia" w:ascii="等线 Light" w:hAnsi="等线 Light" w:eastAsia="等线 Light"/>
      <w:b/>
      <w:color w:val="000000"/>
      <w:sz w:val="32"/>
    </w:rPr>
  </w:style>
  <w:style w:type="character" w:customStyle="1" w:styleId="11">
    <w:name w:val="标题 3 Char"/>
    <w:basedOn w:val="7"/>
    <w:link w:val="4"/>
    <w:unhideWhenUsed/>
    <w:locked/>
    <w:uiPriority w:val="9"/>
    <w:rPr>
      <w:rFonts w:hint="default" w:ascii="Arial"/>
      <w:b/>
      <w:color w:val="000000"/>
      <w:sz w:val="32"/>
    </w:rPr>
  </w:style>
  <w:style w:type="character" w:customStyle="1" w:styleId="12">
    <w:name w:val="页脚 Char"/>
    <w:basedOn w:val="7"/>
    <w:link w:val="5"/>
    <w:unhideWhenUsed/>
    <w:locked/>
    <w:uiPriority w:val="99"/>
    <w:rPr>
      <w:rFonts w:hint="default" w:ascii="Arial"/>
      <w:color w:val="000000"/>
      <w:sz w:val="18"/>
    </w:rPr>
  </w:style>
  <w:style w:type="character" w:customStyle="1" w:styleId="13">
    <w:name w:val="页眉 Char"/>
    <w:basedOn w:val="7"/>
    <w:link w:val="6"/>
    <w:unhideWhenUsed/>
    <w:locked/>
    <w:uiPriority w:val="99"/>
    <w:rPr>
      <w:rFonts w:hint="default" w:ascii="Arial"/>
      <w:color w:val="000000"/>
      <w:sz w:val="18"/>
    </w:rPr>
  </w:style>
  <w:style w:type="character" w:customStyle="1" w:styleId="14">
    <w:name w:val="font21"/>
    <w:basedOn w:val="7"/>
    <w:unhideWhenUsed/>
    <w:uiPriority w:val="0"/>
    <w:rPr>
      <w:rFonts w:hint="eastAsia" w:ascii="??_GB2312??alt" w:eastAsia="Times New Roman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2019-01-21T04:36:54Z</dcterms:created>
  <dc:creator>shijj2</dc:creator>
  <cp:lastModifiedBy>茶香ing</cp:lastModifiedBy>
  <dcterms:modified xsi:type="dcterms:W3CDTF">2019-01-21T04:38:32Z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