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仿宋" w:hAnsi="仿宋" w:eastAsia="仿宋"/>
          <w:sz w:val="32"/>
          <w:szCs w:val="32"/>
        </w:rPr>
      </w:pPr>
      <w:r>
        <w:rPr>
          <w:rFonts w:hint="eastAsia" w:ascii="仿宋" w:hAnsi="仿宋" w:eastAsia="仿宋"/>
          <w:sz w:val="32"/>
          <w:szCs w:val="32"/>
        </w:rPr>
        <w:t>附件：</w:t>
      </w:r>
    </w:p>
    <w:tbl>
      <w:tblPr>
        <w:tblStyle w:val="5"/>
        <w:tblW w:w="14693" w:type="dxa"/>
        <w:tblInd w:w="93" w:type="dxa"/>
        <w:tblLayout w:type="fixed"/>
        <w:tblCellMar>
          <w:top w:w="0" w:type="dxa"/>
          <w:left w:w="108" w:type="dxa"/>
          <w:bottom w:w="0" w:type="dxa"/>
          <w:right w:w="108" w:type="dxa"/>
        </w:tblCellMar>
      </w:tblPr>
      <w:tblGrid>
        <w:gridCol w:w="685"/>
        <w:gridCol w:w="1335"/>
        <w:gridCol w:w="75"/>
        <w:gridCol w:w="2670"/>
        <w:gridCol w:w="45"/>
        <w:gridCol w:w="2385"/>
        <w:gridCol w:w="90"/>
        <w:gridCol w:w="1455"/>
        <w:gridCol w:w="75"/>
        <w:gridCol w:w="977"/>
        <w:gridCol w:w="13"/>
        <w:gridCol w:w="135"/>
        <w:gridCol w:w="1440"/>
        <w:gridCol w:w="2010"/>
        <w:gridCol w:w="1303"/>
      </w:tblGrid>
      <w:tr>
        <w:tblPrEx>
          <w:tblLayout w:type="fixed"/>
          <w:tblCellMar>
            <w:top w:w="0" w:type="dxa"/>
            <w:left w:w="108" w:type="dxa"/>
            <w:bottom w:w="0" w:type="dxa"/>
            <w:right w:w="108" w:type="dxa"/>
          </w:tblCellMar>
        </w:tblPrEx>
        <w:trPr>
          <w:trHeight w:val="720" w:hRule="atLeast"/>
        </w:trPr>
        <w:tc>
          <w:tcPr>
            <w:tcW w:w="14693" w:type="dxa"/>
            <w:gridSpan w:val="15"/>
            <w:tcBorders>
              <w:top w:val="nil"/>
              <w:left w:val="nil"/>
              <w:bottom w:val="nil"/>
              <w:right w:val="nil"/>
            </w:tcBorders>
            <w:vAlign w:val="center"/>
          </w:tcPr>
          <w:p>
            <w:pPr>
              <w:ind w:left="904" w:hanging="904" w:hangingChars="250"/>
              <w:jc w:val="center"/>
              <w:rPr>
                <w:rFonts w:ascii="宋体" w:hAnsi="宋体" w:cs="宋体"/>
                <w:b/>
                <w:bCs/>
                <w:color w:val="000000"/>
                <w:kern w:val="0"/>
                <w:sz w:val="36"/>
                <w:szCs w:val="36"/>
              </w:rPr>
            </w:pPr>
            <w:r>
              <w:rPr>
                <w:rFonts w:hint="eastAsia" w:ascii="宋体" w:hAnsi="宋体" w:cs="宋体"/>
                <w:b/>
                <w:bCs/>
                <w:color w:val="000000"/>
                <w:kern w:val="0"/>
                <w:sz w:val="36"/>
                <w:szCs w:val="36"/>
              </w:rPr>
              <w:t>普陀区申报2017年第二批上海市中小企业发展专项资金项目汇总表</w:t>
            </w:r>
          </w:p>
        </w:tc>
      </w:tr>
      <w:tr>
        <w:tblPrEx>
          <w:tblLayout w:type="fixed"/>
          <w:tblCellMar>
            <w:top w:w="0" w:type="dxa"/>
            <w:left w:w="108" w:type="dxa"/>
            <w:bottom w:w="0" w:type="dxa"/>
            <w:right w:w="108" w:type="dxa"/>
          </w:tblCellMar>
        </w:tblPrEx>
        <w:trPr>
          <w:trHeight w:val="522" w:hRule="atLeast"/>
        </w:trPr>
        <w:tc>
          <w:tcPr>
            <w:tcW w:w="14693" w:type="dxa"/>
            <w:gridSpan w:val="15"/>
            <w:tcBorders>
              <w:top w:val="nil"/>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4"/>
                <w:szCs w:val="24"/>
              </w:rPr>
              <w:t>（中小企业产业升级配套项目）</w:t>
            </w:r>
          </w:p>
        </w:tc>
      </w:tr>
      <w:tr>
        <w:tblPrEx>
          <w:tblLayout w:type="fixed"/>
          <w:tblCellMar>
            <w:top w:w="0" w:type="dxa"/>
            <w:left w:w="108" w:type="dxa"/>
            <w:bottom w:w="0" w:type="dxa"/>
            <w:right w:w="108" w:type="dxa"/>
          </w:tblCellMar>
        </w:tblPrEx>
        <w:trPr>
          <w:trHeight w:val="607" w:hRule="atLeast"/>
        </w:trPr>
        <w:tc>
          <w:tcPr>
            <w:tcW w:w="68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41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项目编码</w:t>
            </w:r>
          </w:p>
        </w:tc>
        <w:tc>
          <w:tcPr>
            <w:tcW w:w="267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项目名称</w:t>
            </w:r>
          </w:p>
        </w:tc>
        <w:tc>
          <w:tcPr>
            <w:tcW w:w="2520"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企业名称</w:t>
            </w:r>
          </w:p>
        </w:tc>
        <w:tc>
          <w:tcPr>
            <w:tcW w:w="153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专项名称</w:t>
            </w:r>
          </w:p>
        </w:tc>
        <w:tc>
          <w:tcPr>
            <w:tcW w:w="1125"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总投资（万元）</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起至年限</w:t>
            </w:r>
          </w:p>
        </w:tc>
        <w:tc>
          <w:tcPr>
            <w:tcW w:w="20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项目领域</w:t>
            </w:r>
          </w:p>
        </w:tc>
        <w:tc>
          <w:tcPr>
            <w:tcW w:w="130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申报日期</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w:t>
            </w:r>
          </w:p>
        </w:tc>
        <w:tc>
          <w:tcPr>
            <w:tcW w:w="141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XQ-ZXQY-01-17-7499</w:t>
            </w:r>
          </w:p>
        </w:tc>
        <w:tc>
          <w:tcPr>
            <w:tcW w:w="267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rPr>
              <w:fldChar w:fldCharType="begin"/>
            </w:r>
            <w:r>
              <w:rPr>
                <w:rFonts w:hint="eastAsia" w:ascii="仿宋_GB2312" w:hAnsi="仿宋_GB2312" w:eastAsia="仿宋_GB2312" w:cs="仿宋_GB2312"/>
                <w:color w:val="000000"/>
                <w:kern w:val="0"/>
                <w:szCs w:val="21"/>
              </w:rPr>
              <w:instrText xml:space="preserve"> HYPERLINK "http://zxzj.sheitc.gov.cn/projectview/input/viewProjectAction.do?filterProjectId=26cb8155a1be4c4db9074daec91e346b&amp;transmit=viewProject" \t "http://zxzj.sheitc.gov.cn/projectlist/_blank" </w:instrText>
            </w:r>
            <w:r>
              <w:rPr>
                <w:rFonts w:hint="eastAsia" w:ascii="仿宋_GB2312" w:hAnsi="仿宋_GB2312" w:eastAsia="仿宋_GB2312" w:cs="仿宋_GB2312"/>
                <w:color w:val="000000"/>
                <w:kern w:val="0"/>
                <w:szCs w:val="21"/>
              </w:rPr>
              <w:fldChar w:fldCharType="separate"/>
            </w:r>
            <w:r>
              <w:rPr>
                <w:rFonts w:hint="eastAsia" w:ascii="仿宋_GB2312" w:hAnsi="仿宋_GB2312" w:eastAsia="仿宋_GB2312" w:cs="仿宋_GB2312"/>
                <w:color w:val="000000"/>
                <w:kern w:val="0"/>
                <w:szCs w:val="21"/>
              </w:rPr>
              <w:t>用于火灾保护的电弧故障保护电器关键技术研究及能力提升</w:t>
            </w:r>
            <w:r>
              <w:rPr>
                <w:rFonts w:hint="eastAsia" w:ascii="仿宋_GB2312" w:hAnsi="仿宋_GB2312" w:eastAsia="仿宋_GB2312" w:cs="仿宋_GB2312"/>
                <w:color w:val="000000"/>
                <w:kern w:val="0"/>
                <w:szCs w:val="21"/>
              </w:rPr>
              <w:fldChar w:fldCharType="end"/>
            </w:r>
          </w:p>
        </w:tc>
        <w:tc>
          <w:tcPr>
            <w:tcW w:w="252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上海电器科学研究院</w:t>
            </w:r>
          </w:p>
        </w:tc>
        <w:tc>
          <w:tcPr>
            <w:tcW w:w="153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产业升级配套</w:t>
            </w:r>
          </w:p>
        </w:tc>
        <w:tc>
          <w:tcPr>
            <w:tcW w:w="112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1000</w:t>
            </w:r>
          </w:p>
        </w:tc>
        <w:tc>
          <w:tcPr>
            <w:tcW w:w="144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2017-09-01--2019-08-31</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装备制造-&gt;输配电及智能电网设备-&gt;智能电网设备</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 xml:space="preserve">2017-08-14 </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w:t>
            </w:r>
          </w:p>
        </w:tc>
        <w:tc>
          <w:tcPr>
            <w:tcW w:w="141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XQ-ZXQY-03-17-7277</w:t>
            </w:r>
          </w:p>
        </w:tc>
        <w:tc>
          <w:tcPr>
            <w:tcW w:w="267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"http://zxzj.sheitc.gov.cn/projectview/input/viewProjectAction.do?filterProjectId=68f50abf60274f649e33685a9e1c1357&amp;transmit=viewProject"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社区实名制安防管理智能终端系统升级改造项目</w:t>
            </w:r>
            <w:r>
              <w:rPr>
                <w:rFonts w:hint="eastAsia" w:ascii="仿宋_GB2312" w:hAnsi="仿宋_GB2312" w:eastAsia="仿宋_GB2312" w:cs="仿宋_GB2312"/>
                <w:color w:val="000000"/>
                <w:kern w:val="0"/>
                <w:szCs w:val="21"/>
                <w:lang w:bidi="ar"/>
              </w:rPr>
              <w:fldChar w:fldCharType="end"/>
            </w:r>
          </w:p>
        </w:tc>
        <w:tc>
          <w:tcPr>
            <w:tcW w:w="252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上海易销科技股份有限公司</w:t>
            </w:r>
          </w:p>
        </w:tc>
        <w:tc>
          <w:tcPr>
            <w:tcW w:w="153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产业升级配套</w:t>
            </w:r>
          </w:p>
        </w:tc>
        <w:tc>
          <w:tcPr>
            <w:tcW w:w="112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1264</w:t>
            </w:r>
          </w:p>
        </w:tc>
        <w:tc>
          <w:tcPr>
            <w:tcW w:w="144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2017-08-01--2019-07-31</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信息化-&gt;社会领域信息化-&gt;社区信息化</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2017-08-14</w:t>
            </w:r>
          </w:p>
        </w:tc>
      </w:tr>
      <w:tr>
        <w:tblPrEx>
          <w:tblLayout w:type="fixed"/>
          <w:tblCellMar>
            <w:top w:w="0" w:type="dxa"/>
            <w:left w:w="108" w:type="dxa"/>
            <w:bottom w:w="0" w:type="dxa"/>
            <w:right w:w="108" w:type="dxa"/>
          </w:tblCellMar>
        </w:tblPrEx>
        <w:trPr>
          <w:trHeight w:val="814"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w:t>
            </w:r>
          </w:p>
        </w:tc>
        <w:tc>
          <w:tcPr>
            <w:tcW w:w="141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XQ-ZXQY-01-17-6312</w:t>
            </w:r>
          </w:p>
        </w:tc>
        <w:tc>
          <w:tcPr>
            <w:tcW w:w="267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"http://zxzj.sheitc.gov.cn/projectview/input/viewProjectAction.do?filterProjectId=114a59635e60461cb09dff79973f07af&amp;transmit=viewProject"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年产6000吨大麦膳食纤维的研发及产业化</w:t>
            </w:r>
            <w:r>
              <w:rPr>
                <w:rFonts w:hint="eastAsia" w:ascii="仿宋_GB2312" w:hAnsi="仿宋_GB2312" w:eastAsia="仿宋_GB2312" w:cs="仿宋_GB2312"/>
                <w:color w:val="000000"/>
                <w:kern w:val="0"/>
                <w:szCs w:val="21"/>
                <w:lang w:bidi="ar"/>
              </w:rPr>
              <w:fldChar w:fldCharType="end"/>
            </w:r>
          </w:p>
        </w:tc>
        <w:tc>
          <w:tcPr>
            <w:tcW w:w="252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华稼食品科技（上海）有限公司</w:t>
            </w:r>
          </w:p>
        </w:tc>
        <w:tc>
          <w:tcPr>
            <w:tcW w:w="153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12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1059</w:t>
            </w:r>
          </w:p>
        </w:tc>
        <w:tc>
          <w:tcPr>
            <w:tcW w:w="144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2017-01-01--2018-06-30</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制造业-&gt;轻工-&gt;食品、酿造</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2017-08-12</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w:t>
            </w:r>
          </w:p>
        </w:tc>
        <w:tc>
          <w:tcPr>
            <w:tcW w:w="141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XQ-ZXQY-01-17-5935</w:t>
            </w:r>
          </w:p>
        </w:tc>
        <w:tc>
          <w:tcPr>
            <w:tcW w:w="267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"http://zxzj.sheitc.gov.cn/projectview/input/viewProjectAction.do?filterProjectId=36c3f684a28e43f7a4cce3f9f09c2e8c&amp;transmit=viewProject"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年产20000套金融智慧终端建设项目</w:t>
            </w:r>
            <w:r>
              <w:rPr>
                <w:rFonts w:hint="eastAsia" w:ascii="仿宋_GB2312" w:hAnsi="仿宋_GB2312" w:eastAsia="仿宋_GB2312" w:cs="仿宋_GB2312"/>
                <w:color w:val="000000"/>
                <w:kern w:val="0"/>
                <w:szCs w:val="21"/>
                <w:lang w:bidi="ar"/>
              </w:rPr>
              <w:fldChar w:fldCharType="end"/>
            </w:r>
          </w:p>
        </w:tc>
        <w:tc>
          <w:tcPr>
            <w:tcW w:w="252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上海龙润机电科技有限公司</w:t>
            </w:r>
          </w:p>
        </w:tc>
        <w:tc>
          <w:tcPr>
            <w:tcW w:w="153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12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1100</w:t>
            </w:r>
          </w:p>
        </w:tc>
        <w:tc>
          <w:tcPr>
            <w:tcW w:w="144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2017-12-01--2019-07-31</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制造业-&gt;装备制造-&gt;其他机械制造设备</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2017-08-11</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5</w:t>
            </w:r>
          </w:p>
        </w:tc>
        <w:tc>
          <w:tcPr>
            <w:tcW w:w="141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XQ-ZXQY-02-17-6964</w:t>
            </w:r>
          </w:p>
        </w:tc>
        <w:tc>
          <w:tcPr>
            <w:tcW w:w="267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kern w:val="0"/>
                <w:szCs w:val="21"/>
              </w:rPr>
              <w:instrText xml:space="preserve"> HYPERLINK "http://zxzj.sheitc.gov.cn/projectview/input/viewProjectAction.do?filterProjectId=0025f0449e214fb893952f6e497bde63&amp;transmit=viewProject" \t "http://zxzj.sheitc.gov.cn/projectlist/_blank" </w:instrText>
            </w:r>
            <w:r>
              <w:rPr>
                <w:rFonts w:hint="eastAsia" w:ascii="仿宋_GB2312" w:hAnsi="仿宋_GB2312" w:eastAsia="仿宋_GB2312" w:cs="仿宋_GB2312"/>
                <w:kern w:val="0"/>
                <w:szCs w:val="21"/>
              </w:rPr>
              <w:fldChar w:fldCharType="separate"/>
            </w:r>
            <w:r>
              <w:rPr>
                <w:rFonts w:hint="eastAsia" w:ascii="仿宋_GB2312" w:hAnsi="仿宋_GB2312" w:eastAsia="仿宋_GB2312" w:cs="仿宋_GB2312"/>
                <w:kern w:val="0"/>
                <w:szCs w:val="21"/>
              </w:rPr>
              <w:t>集成图像处理功能的HIS管理系统研发及产业化技术改造</w:t>
            </w:r>
            <w:r>
              <w:rPr>
                <w:rFonts w:hint="eastAsia" w:ascii="仿宋_GB2312" w:hAnsi="仿宋_GB2312" w:eastAsia="仿宋_GB2312" w:cs="仿宋_GB2312"/>
                <w:kern w:val="0"/>
                <w:szCs w:val="21"/>
              </w:rPr>
              <w:fldChar w:fldCharType="end"/>
            </w:r>
          </w:p>
        </w:tc>
        <w:tc>
          <w:tcPr>
            <w:tcW w:w="252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上海天齐建设股份有限公司</w:t>
            </w:r>
          </w:p>
        </w:tc>
        <w:tc>
          <w:tcPr>
            <w:tcW w:w="153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12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1200</w:t>
            </w:r>
          </w:p>
        </w:tc>
        <w:tc>
          <w:tcPr>
            <w:tcW w:w="144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2017-06-01--2019-06-30</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信息服务业-&gt;软件-&gt;基础软件</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2017-08-14</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w:t>
            </w:r>
          </w:p>
        </w:tc>
        <w:tc>
          <w:tcPr>
            <w:tcW w:w="141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XQ-ZXQY-02-17-7769</w:t>
            </w:r>
          </w:p>
        </w:tc>
        <w:tc>
          <w:tcPr>
            <w:tcW w:w="267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"http://zxzj.sheitc.gov.cn/projectview/input/viewProjectAction.do?filterProjectId=d0d10a8197974ac1b3f7e897de1a5c9f&amp;transmit=viewProject"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酒店智能化预订平台升级改造项目</w:t>
            </w:r>
            <w:r>
              <w:rPr>
                <w:rFonts w:hint="eastAsia" w:ascii="仿宋_GB2312" w:hAnsi="仿宋_GB2312" w:eastAsia="仿宋_GB2312" w:cs="仿宋_GB2312"/>
                <w:color w:val="000000"/>
                <w:kern w:val="0"/>
                <w:szCs w:val="21"/>
                <w:lang w:bidi="ar"/>
              </w:rPr>
              <w:fldChar w:fldCharType="end"/>
            </w:r>
          </w:p>
        </w:tc>
        <w:tc>
          <w:tcPr>
            <w:tcW w:w="252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上海常青藤信息技术有限公司</w:t>
            </w:r>
          </w:p>
        </w:tc>
        <w:tc>
          <w:tcPr>
            <w:tcW w:w="1530"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12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1400</w:t>
            </w:r>
          </w:p>
        </w:tc>
        <w:tc>
          <w:tcPr>
            <w:tcW w:w="1440"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2017-07-01--2018-12-31</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服务业-&gt;信息服务业-&gt;互联网信息服务</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2017-08-14</w:t>
            </w:r>
          </w:p>
        </w:tc>
      </w:tr>
      <w:tr>
        <w:tblPrEx>
          <w:tblLayout w:type="fixed"/>
          <w:tblCellMar>
            <w:top w:w="0" w:type="dxa"/>
            <w:left w:w="108" w:type="dxa"/>
            <w:bottom w:w="0" w:type="dxa"/>
            <w:right w:w="108" w:type="dxa"/>
          </w:tblCellMar>
        </w:tblPrEx>
        <w:trPr>
          <w:trHeight w:val="900"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XQ-ZXQY-03-17-8157</w:t>
            </w:r>
          </w:p>
        </w:tc>
        <w:tc>
          <w:tcPr>
            <w:tcW w:w="267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基于人工智能技术的机器人示教系统的深度开发</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上海太敬机器人有限公司</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12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1100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2017-01-01--2018-12-31</w:t>
            </w:r>
          </w:p>
        </w:tc>
        <w:tc>
          <w:tcPr>
            <w:tcW w:w="20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信息化-&gt;社会领域信息化-&gt;教育信息化</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2017-08-15</w:t>
            </w:r>
          </w:p>
        </w:tc>
      </w:tr>
      <w:tr>
        <w:tblPrEx>
          <w:tblLayout w:type="fixed"/>
          <w:tblCellMar>
            <w:top w:w="0" w:type="dxa"/>
            <w:left w:w="108" w:type="dxa"/>
            <w:bottom w:w="0" w:type="dxa"/>
            <w:right w:w="108" w:type="dxa"/>
          </w:tblCellMar>
        </w:tblPrEx>
        <w:trPr>
          <w:trHeight w:val="773"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序号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项目编码</w:t>
            </w:r>
          </w:p>
        </w:tc>
        <w:tc>
          <w:tcPr>
            <w:tcW w:w="27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项目名称</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企业名称</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专项名称</w:t>
            </w:r>
          </w:p>
        </w:tc>
        <w:tc>
          <w:tcPr>
            <w:tcW w:w="10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总投资（万元）</w:t>
            </w:r>
          </w:p>
        </w:tc>
        <w:tc>
          <w:tcPr>
            <w:tcW w:w="158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起至年限</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项目领域</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b/>
                <w:bCs/>
                <w:color w:val="000000"/>
                <w:kern w:val="0"/>
                <w:sz w:val="22"/>
                <w:szCs w:val="22"/>
              </w:rPr>
              <w:t>申报日期</w:t>
            </w:r>
          </w:p>
        </w:tc>
      </w:tr>
      <w:tr>
        <w:tblPrEx>
          <w:tblLayout w:type="fixed"/>
          <w:tblCellMar>
            <w:top w:w="0" w:type="dxa"/>
            <w:left w:w="108" w:type="dxa"/>
            <w:bottom w:w="0" w:type="dxa"/>
            <w:right w:w="108" w:type="dxa"/>
          </w:tblCellMar>
        </w:tblPrEx>
        <w:trPr>
          <w:trHeight w:val="900"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XQ-ZXQY-02-17-7894</w:t>
            </w:r>
          </w:p>
        </w:tc>
        <w:tc>
          <w:tcPr>
            <w:tcW w:w="279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"http://zxzj.sheitc.gov.cn/projectview/input/viewProjectAction.do?filterProjectId=0ec18c57d29b4c48b558423b3ef2a010&amp;transmit=viewProject"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昂泰兰捷尔互联网居家养老服务平台</w:t>
            </w:r>
            <w:r>
              <w:rPr>
                <w:rFonts w:hint="eastAsia" w:ascii="仿宋_GB2312" w:hAnsi="仿宋_GB2312" w:eastAsia="仿宋_GB2312" w:cs="仿宋_GB2312"/>
                <w:color w:val="000000"/>
                <w:kern w:val="0"/>
                <w:szCs w:val="21"/>
                <w:lang w:bidi="ar"/>
              </w:rPr>
              <w:fldChar w:fldCharType="end"/>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上海昂泰兰捷尔信息科技股份有限公司</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1000</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2017-03-01--2019-02-28</w:t>
            </w:r>
          </w:p>
        </w:tc>
        <w:tc>
          <w:tcPr>
            <w:tcW w:w="20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服务业-&gt;信息服务业-&gt;互联网信息服务</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2017-08-15</w:t>
            </w:r>
          </w:p>
        </w:tc>
      </w:tr>
      <w:tr>
        <w:tblPrEx>
          <w:tblLayout w:type="fixed"/>
          <w:tblCellMar>
            <w:top w:w="0" w:type="dxa"/>
            <w:left w:w="108" w:type="dxa"/>
            <w:bottom w:w="0" w:type="dxa"/>
            <w:right w:w="108" w:type="dxa"/>
          </w:tblCellMar>
        </w:tblPrEx>
        <w:trPr>
          <w:trHeight w:val="900"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133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XQ-ZXQY-02-17-6303</w:t>
            </w:r>
          </w:p>
        </w:tc>
        <w:tc>
          <w:tcPr>
            <w:tcW w:w="2790"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"http://zxzj.sheitc.gov.cn/projectview/input/viewProjectAction.do?filterProjectId=d0c2818d4d8d42a1867a01cacfbf8cb5&amp;transmit=viewProject"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汽车数字个性化定制平台</w:t>
            </w:r>
            <w:r>
              <w:rPr>
                <w:rFonts w:hint="eastAsia" w:ascii="仿宋_GB2312" w:hAnsi="仿宋_GB2312" w:eastAsia="仿宋_GB2312" w:cs="仿宋_GB2312"/>
                <w:color w:val="000000"/>
                <w:kern w:val="0"/>
                <w:szCs w:val="21"/>
                <w:lang w:bidi="ar"/>
              </w:rPr>
              <w:fldChar w:fldCharType="end"/>
            </w:r>
          </w:p>
        </w:tc>
        <w:tc>
          <w:tcPr>
            <w:tcW w:w="2385"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上海炫伍科技股份有限公司</w:t>
            </w:r>
          </w:p>
        </w:tc>
        <w:tc>
          <w:tcPr>
            <w:tcW w:w="154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产业升级配套</w:t>
            </w:r>
          </w:p>
        </w:tc>
        <w:tc>
          <w:tcPr>
            <w:tcW w:w="1065" w:type="dxa"/>
            <w:gridSpan w:val="3"/>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1000</w:t>
            </w:r>
          </w:p>
        </w:tc>
        <w:tc>
          <w:tcPr>
            <w:tcW w:w="1575"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2017-08-01--2019-07-31</w:t>
            </w:r>
          </w:p>
        </w:tc>
        <w:tc>
          <w:tcPr>
            <w:tcW w:w="2010"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服务业-&gt;信息服务业-&gt;其他信息服务业</w:t>
            </w:r>
          </w:p>
        </w:tc>
        <w:tc>
          <w:tcPr>
            <w:tcW w:w="130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2017-08-12</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1335"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XQ-ZXQY-02-17-5083</w:t>
            </w:r>
          </w:p>
        </w:tc>
        <w:tc>
          <w:tcPr>
            <w:tcW w:w="279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"http://zxzj.sheitc.gov.cn/projectview/input/viewProjectAction.do?filterProjectId=1110cea4ed97458db467cfb3623b8361&amp;transmit=viewProject"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家装行业BIM技术的信息化装饰平台</w:t>
            </w:r>
            <w:r>
              <w:rPr>
                <w:rFonts w:hint="eastAsia" w:ascii="仿宋_GB2312" w:hAnsi="仿宋_GB2312" w:eastAsia="仿宋_GB2312" w:cs="仿宋_GB2312"/>
                <w:color w:val="000000"/>
                <w:kern w:val="0"/>
                <w:szCs w:val="21"/>
                <w:lang w:bidi="ar"/>
              </w:rPr>
              <w:fldChar w:fldCharType="end"/>
            </w:r>
          </w:p>
        </w:tc>
        <w:tc>
          <w:tcPr>
            <w:tcW w:w="2385"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上海百姓装潢有限公司</w:t>
            </w:r>
          </w:p>
        </w:tc>
        <w:tc>
          <w:tcPr>
            <w:tcW w:w="154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06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960</w:t>
            </w:r>
          </w:p>
        </w:tc>
        <w:tc>
          <w:tcPr>
            <w:tcW w:w="157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2017-07-01--2019-06-30</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信息服务业-&gt;软件-&gt;行业应用软件</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2017-08-15</w:t>
            </w:r>
          </w:p>
        </w:tc>
      </w:tr>
      <w:tr>
        <w:tblPrEx>
          <w:tblLayout w:type="fixed"/>
          <w:tblCellMar>
            <w:top w:w="0" w:type="dxa"/>
            <w:left w:w="108" w:type="dxa"/>
            <w:bottom w:w="0" w:type="dxa"/>
            <w:right w:w="108" w:type="dxa"/>
          </w:tblCellMar>
        </w:tblPrEx>
        <w:trPr>
          <w:trHeight w:val="900"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1335"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XQ-ZXQY-02-17-5644</w:t>
            </w:r>
          </w:p>
        </w:tc>
        <w:tc>
          <w:tcPr>
            <w:tcW w:w="279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"http://zxzj.sheitc.gov.cn/projectview/input/viewProjectAction.do?filterProjectId=a6a7ac985c7e43c898110a90c8293e29&amp;transmit=viewProject" \t "http://zxzj.sheitc.gov.cn/projectlist/_blank"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建材行业协同管理云平台建设项目</w:t>
            </w:r>
            <w:r>
              <w:rPr>
                <w:rFonts w:hint="eastAsia" w:ascii="仿宋_GB2312" w:hAnsi="仿宋_GB2312" w:eastAsia="仿宋_GB2312" w:cs="仿宋_GB2312"/>
                <w:szCs w:val="21"/>
              </w:rPr>
              <w:fldChar w:fldCharType="end"/>
            </w:r>
          </w:p>
        </w:tc>
        <w:tc>
          <w:tcPr>
            <w:tcW w:w="2385"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上海凯盛朗坤信息技术股份有限公司</w:t>
            </w:r>
          </w:p>
        </w:tc>
        <w:tc>
          <w:tcPr>
            <w:tcW w:w="154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06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700</w:t>
            </w:r>
          </w:p>
        </w:tc>
        <w:tc>
          <w:tcPr>
            <w:tcW w:w="157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2016-10-01--2018-10-01</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信息服务业-&gt;软件-&gt;行业应用软件</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2017-08-15</w:t>
            </w:r>
          </w:p>
        </w:tc>
      </w:tr>
      <w:tr>
        <w:tblPrEx>
          <w:tblLayout w:type="fixed"/>
          <w:tblCellMar>
            <w:top w:w="0" w:type="dxa"/>
            <w:left w:w="108" w:type="dxa"/>
            <w:bottom w:w="0" w:type="dxa"/>
            <w:right w:w="108" w:type="dxa"/>
          </w:tblCellMar>
        </w:tblPrEx>
        <w:trPr>
          <w:trHeight w:val="1048" w:hRule="atLeast"/>
        </w:trPr>
        <w:tc>
          <w:tcPr>
            <w:tcW w:w="68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1335"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XQ-ZXQY-01-17-2731</w:t>
            </w:r>
          </w:p>
        </w:tc>
        <w:tc>
          <w:tcPr>
            <w:tcW w:w="2790" w:type="dxa"/>
            <w:gridSpan w:val="3"/>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fldChar w:fldCharType="begin"/>
            </w:r>
            <w:r>
              <w:rPr>
                <w:rFonts w:hint="eastAsia" w:ascii="仿宋_GB2312" w:hAnsi="仿宋_GB2312" w:eastAsia="仿宋_GB2312" w:cs="仿宋_GB2312"/>
                <w:color w:val="000000"/>
                <w:kern w:val="0"/>
                <w:szCs w:val="21"/>
                <w:lang w:bidi="ar"/>
              </w:rPr>
              <w:instrText xml:space="preserve"> HYPERLINK "http://zxzj.sheitc.gov.cn/projectview/input/viewProjectAction.do?filterProjectId=61c3f15099c8418b8c049992a9da1949&amp;transmit=viewProject" \t "http://zxzj.sheitc.gov.cn/projectlist/_blank" </w:instrText>
            </w:r>
            <w:r>
              <w:rPr>
                <w:rFonts w:hint="eastAsia" w:ascii="仿宋_GB2312" w:hAnsi="仿宋_GB2312" w:eastAsia="仿宋_GB2312" w:cs="仿宋_GB2312"/>
                <w:color w:val="000000"/>
                <w:kern w:val="0"/>
                <w:szCs w:val="21"/>
                <w:lang w:bidi="ar"/>
              </w:rPr>
              <w:fldChar w:fldCharType="separate"/>
            </w:r>
            <w:r>
              <w:rPr>
                <w:rFonts w:hint="eastAsia" w:ascii="仿宋_GB2312" w:hAnsi="仿宋_GB2312" w:eastAsia="仿宋_GB2312" w:cs="仿宋_GB2312"/>
                <w:color w:val="000000"/>
                <w:kern w:val="0"/>
                <w:szCs w:val="21"/>
                <w:lang w:bidi="ar"/>
              </w:rPr>
              <w:t>具有联网和数据处理能力的多功能高速纸币清分机及关键技术开发与应用示范</w:t>
            </w:r>
            <w:r>
              <w:rPr>
                <w:rFonts w:hint="eastAsia" w:ascii="仿宋_GB2312" w:hAnsi="仿宋_GB2312" w:eastAsia="仿宋_GB2312" w:cs="仿宋_GB2312"/>
                <w:color w:val="000000"/>
                <w:kern w:val="0"/>
                <w:szCs w:val="21"/>
                <w:lang w:bidi="ar"/>
              </w:rPr>
              <w:fldChar w:fldCharType="end"/>
            </w:r>
          </w:p>
        </w:tc>
        <w:tc>
          <w:tcPr>
            <w:tcW w:w="2385" w:type="dxa"/>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上海古鳌电子科技股份有限公司</w:t>
            </w:r>
          </w:p>
        </w:tc>
        <w:tc>
          <w:tcPr>
            <w:tcW w:w="154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rPr>
              <w:t>产业升级配套</w:t>
            </w:r>
          </w:p>
        </w:tc>
        <w:tc>
          <w:tcPr>
            <w:tcW w:w="1065" w:type="dxa"/>
            <w:gridSpan w:val="3"/>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1500</w:t>
            </w:r>
          </w:p>
        </w:tc>
        <w:tc>
          <w:tcPr>
            <w:tcW w:w="157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2016-05-01--2018-04-30</w:t>
            </w:r>
          </w:p>
        </w:tc>
        <w:tc>
          <w:tcPr>
            <w:tcW w:w="2010" w:type="dxa"/>
            <w:tcBorders>
              <w:top w:val="nil"/>
              <w:left w:val="nil"/>
              <w:bottom w:val="single" w:color="auto" w:sz="4" w:space="0"/>
              <w:right w:val="single" w:color="auto" w:sz="4" w:space="0"/>
            </w:tcBorders>
            <w:vAlign w:val="center"/>
          </w:tcPr>
          <w:p>
            <w:pP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制造业-&gt;装备制造-&gt;其他机械制造设备</w:t>
            </w:r>
          </w:p>
        </w:tc>
        <w:tc>
          <w:tcPr>
            <w:tcW w:w="1303"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szCs w:val="21"/>
              </w:rPr>
              <w:t>2017-08-03</w:t>
            </w:r>
          </w:p>
        </w:tc>
      </w:tr>
      <w:tr>
        <w:tblPrEx>
          <w:tblLayout w:type="fixed"/>
          <w:tblCellMar>
            <w:top w:w="0" w:type="dxa"/>
            <w:left w:w="108" w:type="dxa"/>
            <w:bottom w:w="0" w:type="dxa"/>
            <w:right w:w="108" w:type="dxa"/>
          </w:tblCellMar>
        </w:tblPrEx>
        <w:trPr>
          <w:trHeight w:val="285" w:hRule="atLeast"/>
        </w:trPr>
        <w:tc>
          <w:tcPr>
            <w:tcW w:w="685" w:type="dxa"/>
            <w:tcBorders>
              <w:top w:val="nil"/>
              <w:left w:val="nil"/>
              <w:bottom w:val="nil"/>
              <w:right w:val="nil"/>
            </w:tcBorders>
            <w:vAlign w:val="center"/>
          </w:tcPr>
          <w:p>
            <w:pPr>
              <w:widowControl/>
              <w:jc w:val="left"/>
              <w:rPr>
                <w:rFonts w:ascii="宋体" w:hAnsi="宋体" w:cs="宋体"/>
                <w:kern w:val="0"/>
                <w:sz w:val="24"/>
                <w:szCs w:val="24"/>
              </w:rPr>
            </w:pPr>
          </w:p>
        </w:tc>
        <w:tc>
          <w:tcPr>
            <w:tcW w:w="1335" w:type="dxa"/>
            <w:tcBorders>
              <w:top w:val="nil"/>
              <w:left w:val="nil"/>
              <w:bottom w:val="nil"/>
              <w:right w:val="nil"/>
            </w:tcBorders>
            <w:vAlign w:val="center"/>
          </w:tcPr>
          <w:p>
            <w:pPr>
              <w:widowControl/>
              <w:jc w:val="left"/>
              <w:rPr>
                <w:rFonts w:ascii="宋体" w:hAnsi="宋体" w:cs="宋体"/>
                <w:kern w:val="0"/>
                <w:sz w:val="24"/>
                <w:szCs w:val="24"/>
              </w:rPr>
            </w:pPr>
          </w:p>
        </w:tc>
        <w:tc>
          <w:tcPr>
            <w:tcW w:w="2790" w:type="dxa"/>
            <w:gridSpan w:val="3"/>
            <w:tcBorders>
              <w:top w:val="nil"/>
              <w:left w:val="nil"/>
              <w:bottom w:val="nil"/>
              <w:right w:val="nil"/>
            </w:tcBorders>
            <w:vAlign w:val="center"/>
          </w:tcPr>
          <w:p>
            <w:pPr>
              <w:widowControl/>
              <w:jc w:val="left"/>
              <w:rPr>
                <w:rFonts w:ascii="宋体" w:hAnsi="宋体" w:cs="宋体"/>
                <w:kern w:val="0"/>
                <w:sz w:val="24"/>
                <w:szCs w:val="24"/>
              </w:rPr>
            </w:pPr>
          </w:p>
        </w:tc>
        <w:tc>
          <w:tcPr>
            <w:tcW w:w="2385" w:type="dxa"/>
            <w:tcBorders>
              <w:top w:val="nil"/>
              <w:left w:val="nil"/>
              <w:bottom w:val="nil"/>
              <w:right w:val="nil"/>
            </w:tcBorders>
            <w:vAlign w:val="center"/>
          </w:tcPr>
          <w:p>
            <w:pPr>
              <w:widowControl/>
              <w:jc w:val="left"/>
              <w:rPr>
                <w:rFonts w:ascii="宋体" w:hAnsi="宋体" w:cs="宋体"/>
                <w:kern w:val="0"/>
                <w:sz w:val="24"/>
                <w:szCs w:val="24"/>
              </w:rPr>
            </w:pPr>
          </w:p>
        </w:tc>
        <w:tc>
          <w:tcPr>
            <w:tcW w:w="1545"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1065" w:type="dxa"/>
            <w:gridSpan w:val="3"/>
            <w:tcBorders>
              <w:top w:val="nil"/>
              <w:left w:val="nil"/>
              <w:bottom w:val="nil"/>
              <w:right w:val="nil"/>
            </w:tcBorders>
            <w:vAlign w:val="center"/>
          </w:tcPr>
          <w:p>
            <w:pPr>
              <w:widowControl/>
              <w:jc w:val="left"/>
              <w:rPr>
                <w:rFonts w:ascii="宋体" w:hAnsi="宋体" w:cs="宋体"/>
                <w:kern w:val="0"/>
                <w:sz w:val="24"/>
                <w:szCs w:val="24"/>
              </w:rPr>
            </w:pPr>
          </w:p>
        </w:tc>
        <w:tc>
          <w:tcPr>
            <w:tcW w:w="1575"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2010" w:type="dxa"/>
            <w:tcBorders>
              <w:top w:val="nil"/>
              <w:left w:val="nil"/>
              <w:bottom w:val="nil"/>
              <w:right w:val="nil"/>
            </w:tcBorders>
            <w:vAlign w:val="center"/>
          </w:tcPr>
          <w:p>
            <w:pPr>
              <w:widowControl/>
              <w:jc w:val="left"/>
              <w:rPr>
                <w:rFonts w:ascii="宋体" w:hAnsi="宋体" w:cs="宋体"/>
                <w:kern w:val="0"/>
                <w:sz w:val="24"/>
                <w:szCs w:val="24"/>
              </w:rPr>
            </w:pPr>
          </w:p>
        </w:tc>
        <w:tc>
          <w:tcPr>
            <w:tcW w:w="1303" w:type="dxa"/>
            <w:tcBorders>
              <w:top w:val="nil"/>
              <w:left w:val="nil"/>
              <w:bottom w:val="nil"/>
              <w:right w:val="nil"/>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685" w:type="dxa"/>
            <w:tcBorders>
              <w:top w:val="nil"/>
              <w:left w:val="nil"/>
              <w:bottom w:val="nil"/>
              <w:right w:val="nil"/>
            </w:tcBorders>
            <w:vAlign w:val="center"/>
          </w:tcPr>
          <w:p>
            <w:pPr>
              <w:widowControl/>
              <w:jc w:val="left"/>
              <w:rPr>
                <w:rFonts w:ascii="宋体" w:hAnsi="宋体" w:cs="宋体"/>
                <w:kern w:val="0"/>
                <w:sz w:val="24"/>
                <w:szCs w:val="24"/>
              </w:rPr>
            </w:pPr>
          </w:p>
        </w:tc>
        <w:tc>
          <w:tcPr>
            <w:tcW w:w="1335" w:type="dxa"/>
            <w:tcBorders>
              <w:top w:val="nil"/>
              <w:left w:val="nil"/>
              <w:bottom w:val="nil"/>
              <w:right w:val="nil"/>
            </w:tcBorders>
            <w:vAlign w:val="center"/>
          </w:tcPr>
          <w:p>
            <w:pPr>
              <w:widowControl/>
              <w:jc w:val="left"/>
              <w:rPr>
                <w:rFonts w:ascii="宋体" w:hAnsi="宋体" w:cs="宋体"/>
                <w:kern w:val="0"/>
                <w:sz w:val="24"/>
                <w:szCs w:val="24"/>
              </w:rPr>
            </w:pPr>
          </w:p>
        </w:tc>
        <w:tc>
          <w:tcPr>
            <w:tcW w:w="2790" w:type="dxa"/>
            <w:gridSpan w:val="3"/>
            <w:tcBorders>
              <w:top w:val="nil"/>
              <w:left w:val="nil"/>
              <w:bottom w:val="nil"/>
              <w:right w:val="nil"/>
            </w:tcBorders>
            <w:vAlign w:val="center"/>
          </w:tcPr>
          <w:p>
            <w:pPr>
              <w:widowControl/>
              <w:jc w:val="left"/>
              <w:rPr>
                <w:rFonts w:ascii="宋体" w:hAnsi="宋体" w:cs="宋体"/>
                <w:kern w:val="0"/>
                <w:sz w:val="24"/>
                <w:szCs w:val="24"/>
              </w:rPr>
            </w:pPr>
          </w:p>
        </w:tc>
        <w:tc>
          <w:tcPr>
            <w:tcW w:w="2385" w:type="dxa"/>
            <w:tcBorders>
              <w:top w:val="nil"/>
              <w:left w:val="nil"/>
              <w:bottom w:val="nil"/>
              <w:right w:val="nil"/>
            </w:tcBorders>
            <w:vAlign w:val="center"/>
          </w:tcPr>
          <w:p>
            <w:pPr>
              <w:widowControl/>
              <w:jc w:val="left"/>
              <w:rPr>
                <w:rFonts w:ascii="宋体" w:hAnsi="宋体" w:cs="宋体"/>
                <w:kern w:val="0"/>
                <w:sz w:val="24"/>
                <w:szCs w:val="24"/>
              </w:rPr>
            </w:pPr>
          </w:p>
        </w:tc>
        <w:tc>
          <w:tcPr>
            <w:tcW w:w="1545"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1065" w:type="dxa"/>
            <w:gridSpan w:val="3"/>
            <w:tcBorders>
              <w:top w:val="nil"/>
              <w:left w:val="nil"/>
              <w:bottom w:val="nil"/>
              <w:right w:val="nil"/>
            </w:tcBorders>
            <w:vAlign w:val="center"/>
          </w:tcPr>
          <w:p>
            <w:pPr>
              <w:widowControl/>
              <w:jc w:val="left"/>
              <w:rPr>
                <w:rFonts w:ascii="宋体" w:hAnsi="宋体" w:cs="宋体"/>
                <w:kern w:val="0"/>
                <w:sz w:val="24"/>
                <w:szCs w:val="24"/>
              </w:rPr>
            </w:pPr>
          </w:p>
        </w:tc>
        <w:tc>
          <w:tcPr>
            <w:tcW w:w="1575"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2010" w:type="dxa"/>
            <w:tcBorders>
              <w:top w:val="nil"/>
              <w:left w:val="nil"/>
              <w:bottom w:val="nil"/>
              <w:right w:val="nil"/>
            </w:tcBorders>
            <w:vAlign w:val="center"/>
          </w:tcPr>
          <w:p>
            <w:pPr>
              <w:widowControl/>
              <w:jc w:val="left"/>
              <w:rPr>
                <w:rFonts w:ascii="宋体" w:hAnsi="宋体" w:cs="宋体"/>
                <w:kern w:val="0"/>
                <w:sz w:val="24"/>
                <w:szCs w:val="24"/>
              </w:rPr>
            </w:pPr>
          </w:p>
        </w:tc>
        <w:tc>
          <w:tcPr>
            <w:tcW w:w="1303" w:type="dxa"/>
            <w:tcBorders>
              <w:top w:val="nil"/>
              <w:left w:val="nil"/>
              <w:bottom w:val="nil"/>
              <w:right w:val="nil"/>
            </w:tcBorders>
            <w:vAlign w:val="center"/>
          </w:tcPr>
          <w:p>
            <w:pPr>
              <w:widowControl/>
              <w:jc w:val="left"/>
              <w:rPr>
                <w:rFonts w:ascii="宋体" w:hAnsi="宋体" w:cs="宋体"/>
                <w:kern w:val="0"/>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5A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yingyq</dc:creator>
  <cp:lastModifiedBy>yingyq</cp:lastModifiedBy>
  <dcterms:modified xsi:type="dcterms:W3CDTF">2017-10-18T00:56:55Z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