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eastAsia="方正小标宋简体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eastAsia="方正小标宋简体"/>
          <w:bCs/>
          <w:spacing w:val="0"/>
          <w:sz w:val="44"/>
          <w:szCs w:val="44"/>
        </w:rPr>
      </w:pPr>
      <w:r>
        <w:rPr>
          <w:rFonts w:eastAsia="方正小标宋简体"/>
          <w:bCs/>
          <w:spacing w:val="0"/>
          <w:sz w:val="44"/>
          <w:szCs w:val="44"/>
        </w:rPr>
        <w:t>本</w:t>
      </w:r>
      <w:r>
        <w:rPr>
          <w:rFonts w:hint="eastAsia" w:eastAsia="方正小标宋简体"/>
          <w:bCs/>
          <w:spacing w:val="0"/>
          <w:sz w:val="44"/>
          <w:szCs w:val="44"/>
          <w:lang w:eastAsia="zh-CN"/>
        </w:rPr>
        <w:t>区</w:t>
      </w:r>
      <w:r>
        <w:rPr>
          <w:rFonts w:eastAsia="方正小标宋简体"/>
          <w:bCs/>
          <w:spacing w:val="0"/>
          <w:sz w:val="44"/>
          <w:szCs w:val="44"/>
        </w:rPr>
        <w:t>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-20"/>
          <w:sz w:val="44"/>
          <w:szCs w:val="44"/>
        </w:rPr>
        <w:t>“</w:t>
      </w:r>
      <w:r>
        <w:rPr>
          <w:rFonts w:eastAsia="方正小标宋简体"/>
          <w:bCs/>
          <w:spacing w:val="-20"/>
          <w:sz w:val="44"/>
          <w:szCs w:val="44"/>
        </w:rPr>
        <w:t>法律明白人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”“</w:t>
      </w:r>
      <w:r>
        <w:rPr>
          <w:rFonts w:eastAsia="方正小标宋简体"/>
          <w:bCs/>
          <w:spacing w:val="-20"/>
          <w:sz w:val="44"/>
          <w:szCs w:val="44"/>
        </w:rPr>
        <w:t>法治带头人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”</w:t>
      </w:r>
      <w:r>
        <w:rPr>
          <w:rFonts w:eastAsia="方正小标宋简体"/>
          <w:bCs/>
          <w:spacing w:val="-20"/>
          <w:sz w:val="44"/>
          <w:szCs w:val="44"/>
        </w:rPr>
        <w:t>培养工程操作指引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pacing w:val="0"/>
          <w:sz w:val="32"/>
          <w:szCs w:val="32"/>
        </w:rPr>
        <w:t>（2020版）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hint="eastAsia" w:ascii="黑体" w:hAnsi="黑体" w:eastAsia="黑体"/>
          <w:bCs/>
          <w:spacing w:val="0"/>
          <w:sz w:val="32"/>
          <w:szCs w:val="32"/>
        </w:rPr>
        <w:t>一、主要目标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到2020年底，全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区各街镇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每个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居村委</w:t>
      </w:r>
      <w:r>
        <w:rPr>
          <w:rFonts w:hint="eastAsia" w:ascii="仿宋_GB2312" w:eastAsia="仿宋_GB2312"/>
          <w:spacing w:val="0"/>
          <w:sz w:val="32"/>
          <w:szCs w:val="32"/>
        </w:rPr>
        <w:t>至少培养3名“法律明白人”和1名“法治带头人”。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hint="eastAsia" w:ascii="黑体" w:hAnsi="黑体" w:eastAsia="黑体"/>
          <w:bCs/>
          <w:spacing w:val="0"/>
          <w:sz w:val="32"/>
          <w:szCs w:val="32"/>
        </w:rPr>
        <w:t>二、基本条件和主要职责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eastAsia="楷体_GB2312"/>
          <w:bCs/>
          <w:spacing w:val="0"/>
          <w:sz w:val="32"/>
          <w:szCs w:val="32"/>
        </w:rPr>
      </w:pPr>
      <w:r>
        <w:rPr>
          <w:rFonts w:hint="eastAsia" w:ascii="楷体_GB2312" w:eastAsia="楷体_GB2312"/>
          <w:bCs/>
          <w:spacing w:val="0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Cs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1</w:t>
      </w:r>
      <w:r>
        <w:rPr>
          <w:rFonts w:hint="eastAsia" w:ascii="仿宋_GB2312" w:eastAsia="仿宋_GB2312"/>
          <w:bCs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Cs/>
          <w:spacing w:val="0"/>
          <w:sz w:val="32"/>
          <w:szCs w:val="32"/>
        </w:rPr>
        <w:t>“法律明白人”基本条件：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（1）拥护中国共产党领导，拥护社会主义制度，热爱祖国，热爱人民；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（2）积极践行社会主义核心价值观，传承良好家风和家庭美德；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（3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0"/>
          <w:sz w:val="32"/>
          <w:szCs w:val="32"/>
        </w:rPr>
        <w:t>具有一定的文化水平、学习能力和语言表达能力；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（4）具备一定的法律素养，带头尊法学法守法用法，自觉履行法定义务，依法维护自身权利；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（5）热心法治宣传教育工作，在群众中具有良好声望，能发挥示范带头作用。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2</w:t>
      </w:r>
      <w:r>
        <w:rPr>
          <w:rFonts w:hint="eastAsia" w:ascii="仿宋_GB2312" w:eastAsia="仿宋_GB2312"/>
          <w:bCs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Cs/>
          <w:spacing w:val="0"/>
          <w:sz w:val="32"/>
          <w:szCs w:val="32"/>
        </w:rPr>
        <w:t>“法治带头人”基本条件：</w:t>
      </w:r>
      <w:r>
        <w:rPr>
          <w:rFonts w:hint="eastAsia" w:ascii="仿宋_GB2312" w:eastAsia="仿宋_GB2312"/>
          <w:spacing w:val="0"/>
          <w:sz w:val="32"/>
          <w:szCs w:val="32"/>
        </w:rPr>
        <w:t>除具备“法律明白人”基本条件外，还应具有较强的法治意识、法律素质、文化水平和政策水平，自觉维护法律权威，善于做群众工作，热心社会公益事业，深受群众信赖和支持，能发挥较强的示范带头作用。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eastAsia="楷体_GB2312"/>
          <w:bCs/>
          <w:spacing w:val="0"/>
          <w:sz w:val="32"/>
          <w:szCs w:val="32"/>
        </w:rPr>
      </w:pPr>
      <w:r>
        <w:rPr>
          <w:rFonts w:hint="eastAsia" w:ascii="楷体_GB2312" w:eastAsia="楷体_GB2312"/>
          <w:bCs/>
          <w:spacing w:val="0"/>
          <w:sz w:val="32"/>
          <w:szCs w:val="32"/>
        </w:rPr>
        <w:t>（二）主要职责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bCs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Cs/>
          <w:spacing w:val="0"/>
          <w:sz w:val="32"/>
          <w:szCs w:val="32"/>
        </w:rPr>
        <w:t>“法律明白人”主要职责是：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（1）认真学习、宣传国家法律法规知识，大力弘扬法治精神，引导带动群众尊法学法守法用法；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（2）主动参与矛盾纠纷预防、排查、疏导、化解工作，发现重大矛盾纠纷、突发事件苗头，及时采取有效措施控制事态，并向上级有关部门报告；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（3）积极组织和参与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社区</w:t>
      </w:r>
      <w:r>
        <w:rPr>
          <w:rFonts w:hint="eastAsia" w:ascii="仿宋_GB2312" w:eastAsia="仿宋_GB2312"/>
          <w:spacing w:val="0"/>
          <w:sz w:val="32"/>
          <w:szCs w:val="32"/>
        </w:rPr>
        <w:t>群众性法治文化活动；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（4）积极参加上级组织的法律业务培训。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Cs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2</w:t>
      </w:r>
      <w:r>
        <w:rPr>
          <w:rFonts w:hint="eastAsia" w:ascii="仿宋_GB2312" w:eastAsia="仿宋_GB2312"/>
          <w:bCs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Cs/>
          <w:spacing w:val="0"/>
          <w:sz w:val="32"/>
          <w:szCs w:val="32"/>
        </w:rPr>
        <w:t>“法治带头人”除履行“法律明白人”主要职责外，还要承担：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（1）参与制定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本居村委社区民主法治</w:t>
      </w:r>
      <w:r>
        <w:rPr>
          <w:rFonts w:hint="eastAsia" w:ascii="仿宋_GB2312" w:eastAsia="仿宋_GB2312"/>
          <w:spacing w:val="0"/>
          <w:sz w:val="32"/>
          <w:szCs w:val="32"/>
        </w:rPr>
        <w:t>建设总体规划和年度计划，促进发展规划和年度目标落地实施；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（2）深入了解本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社区</w:t>
      </w:r>
      <w:r>
        <w:rPr>
          <w:rFonts w:hint="eastAsia" w:ascii="仿宋_GB2312" w:eastAsia="仿宋_GB2312"/>
          <w:spacing w:val="0"/>
          <w:sz w:val="32"/>
          <w:szCs w:val="32"/>
        </w:rPr>
        <w:t>内的社情民意，准确掌握、反映群众法律需求，深入开展“以案释法”，引导教育群众理性表达利益诉求，依法维护合法权益，保障基层社会和谐稳定；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（3）广泛宣传基层民主自治观念，积极组织和参与“民主法治示范村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（社区）</w:t>
      </w:r>
      <w:r>
        <w:rPr>
          <w:rFonts w:hint="eastAsia" w:ascii="仿宋_GB2312" w:eastAsia="仿宋_GB2312"/>
          <w:spacing w:val="0"/>
          <w:sz w:val="32"/>
          <w:szCs w:val="32"/>
        </w:rPr>
        <w:t>”创建，推动落实“四议两公开”，扎实推进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社区</w:t>
      </w:r>
      <w:r>
        <w:rPr>
          <w:rFonts w:hint="eastAsia" w:ascii="仿宋_GB2312" w:eastAsia="仿宋_GB2312"/>
          <w:spacing w:val="0"/>
          <w:sz w:val="32"/>
          <w:szCs w:val="32"/>
        </w:rPr>
        <w:t>事务依法、民主管理，促进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社区</w:t>
      </w:r>
      <w:r>
        <w:rPr>
          <w:rFonts w:hint="eastAsia" w:ascii="仿宋_GB2312" w:eastAsia="仿宋_GB2312"/>
          <w:spacing w:val="0"/>
          <w:sz w:val="32"/>
          <w:szCs w:val="32"/>
        </w:rPr>
        <w:t>各项事业发展。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hint="eastAsia" w:ascii="黑体" w:hAnsi="黑体" w:eastAsia="黑体"/>
          <w:bCs/>
          <w:spacing w:val="0"/>
          <w:sz w:val="32"/>
          <w:szCs w:val="32"/>
        </w:rPr>
        <w:t>三、选拔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以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居村委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为单位</w:t>
      </w:r>
      <w:r>
        <w:rPr>
          <w:rFonts w:hint="eastAsia" w:ascii="仿宋_GB2312" w:eastAsia="仿宋_GB2312"/>
          <w:spacing w:val="0"/>
          <w:sz w:val="32"/>
          <w:szCs w:val="32"/>
        </w:rPr>
        <w:t>，按照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pacing w:val="0"/>
          <w:sz w:val="32"/>
          <w:szCs w:val="32"/>
        </w:rPr>
        <w:t>村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spacing w:val="0"/>
          <w:sz w:val="32"/>
          <w:szCs w:val="32"/>
        </w:rPr>
        <w:t>“两委”推荐（或个人申请）、组织选拔、考核上岗等程序，确定“法律明白人”“法治带头人”。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（一）选拔范围。</w:t>
      </w:r>
      <w:r>
        <w:rPr>
          <w:rFonts w:hint="eastAsia" w:ascii="仿宋_GB2312" w:eastAsia="仿宋_GB2312"/>
          <w:spacing w:val="0"/>
          <w:sz w:val="32"/>
          <w:szCs w:val="32"/>
        </w:rPr>
        <w:t>在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pacing w:val="0"/>
          <w:sz w:val="32"/>
          <w:szCs w:val="32"/>
        </w:rPr>
        <w:t>村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spacing w:val="0"/>
          <w:sz w:val="32"/>
          <w:szCs w:val="32"/>
        </w:rPr>
        <w:t>“两委”干部、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法律服务工作者（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居村委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法律顾问）、人民调解员、老党员、老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干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、退休教师、退休法官、检察官以及人民警察等和具有高中以上学历的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民中，选拔培养“法律明白人”。重点要在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“两委”干部、法律服务工作者（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居村委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法律顾问）、</w:t>
      </w:r>
      <w:r>
        <w:rPr>
          <w:rFonts w:hint="eastAsia" w:ascii="仿宋_GB2312" w:eastAsia="仿宋_GB2312"/>
          <w:spacing w:val="0"/>
          <w:sz w:val="32"/>
          <w:szCs w:val="32"/>
        </w:rPr>
        <w:t>人民调解员、普法骨干等人员中培育“法治带头人”。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（二）选拔程序。</w:t>
      </w:r>
      <w:r>
        <w:rPr>
          <w:rFonts w:hint="eastAsia" w:ascii="仿宋_GB2312" w:eastAsia="仿宋_GB2312"/>
          <w:spacing w:val="0"/>
          <w:sz w:val="32"/>
          <w:szCs w:val="32"/>
        </w:rPr>
        <w:t>凡符合“法律明白人”“法治带头人”基本条件的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spacing w:val="0"/>
          <w:sz w:val="32"/>
          <w:szCs w:val="32"/>
        </w:rPr>
        <w:t>，经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pacing w:val="0"/>
          <w:sz w:val="32"/>
          <w:szCs w:val="32"/>
        </w:rPr>
        <w:t>村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spacing w:val="0"/>
          <w:sz w:val="32"/>
          <w:szCs w:val="32"/>
        </w:rPr>
        <w:t>“两委”推荐（或个人申请）、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司法所</w:t>
      </w:r>
      <w:r>
        <w:rPr>
          <w:rFonts w:hint="eastAsia" w:ascii="仿宋_GB2312" w:eastAsia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初核</w:t>
      </w:r>
      <w:r>
        <w:rPr>
          <w:rFonts w:hint="eastAsia" w:ascii="仿宋_GB2312" w:eastAsia="仿宋_GB2312"/>
          <w:spacing w:val="0"/>
          <w:sz w:val="32"/>
          <w:szCs w:val="32"/>
        </w:rPr>
        <w:t>等程序，成为“法律明白人”“法治带头人”培养人选。</w:t>
      </w:r>
    </w:p>
    <w:p>
      <w:pPr>
        <w:keepNext w:val="0"/>
        <w:keepLines w:val="0"/>
        <w:pageBreakBefore w:val="0"/>
        <w:widowControl w:val="0"/>
        <w:tabs>
          <w:tab w:val="center" w:pos="4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（三）考核上岗。</w:t>
      </w:r>
      <w:r>
        <w:rPr>
          <w:rFonts w:hint="eastAsia" w:ascii="仿宋_GB2312" w:eastAsia="仿宋_GB2312"/>
          <w:spacing w:val="0"/>
          <w:sz w:val="32"/>
          <w:szCs w:val="32"/>
        </w:rPr>
        <w:t>确定为“法律明白人”“法治带头人”培养人选的，由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pacing w:val="0"/>
          <w:sz w:val="32"/>
          <w:szCs w:val="32"/>
        </w:rPr>
        <w:t>司法所具体组织任前法律知识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教育</w:t>
      </w:r>
      <w:r>
        <w:rPr>
          <w:rFonts w:hint="eastAsia" w:ascii="仿宋_GB2312" w:eastAsia="仿宋_GB2312"/>
          <w:spacing w:val="0"/>
          <w:sz w:val="32"/>
          <w:szCs w:val="32"/>
        </w:rPr>
        <w:t>培训和考核。培训考核内容侧重法治意识和法治思维培养、社会主义核心价值观、全民共学的基本法律常识和与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社区民主法治建设</w:t>
      </w:r>
      <w:r>
        <w:rPr>
          <w:rFonts w:hint="eastAsia" w:ascii="仿宋_GB2312" w:eastAsia="仿宋_GB2312"/>
          <w:spacing w:val="0"/>
          <w:sz w:val="32"/>
          <w:szCs w:val="32"/>
        </w:rPr>
        <w:t>密切相关的法律法规学习等。经培训、考核合格的“法律明白人”“法治带头人”培养人选，由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pacing w:val="0"/>
          <w:sz w:val="32"/>
          <w:szCs w:val="32"/>
        </w:rPr>
        <w:t>村委会登记造册，经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pacing w:val="0"/>
          <w:sz w:val="32"/>
          <w:szCs w:val="32"/>
        </w:rPr>
        <w:t>司法所初核汇总并报区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司法</w:t>
      </w:r>
      <w:r>
        <w:rPr>
          <w:rFonts w:hint="eastAsia" w:ascii="仿宋_GB2312" w:eastAsia="仿宋_GB2312"/>
          <w:spacing w:val="0"/>
          <w:sz w:val="32"/>
          <w:szCs w:val="32"/>
        </w:rPr>
        <w:t>局审核确认。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hint="eastAsia" w:ascii="黑体" w:hAnsi="黑体" w:eastAsia="黑体"/>
          <w:bCs/>
          <w:spacing w:val="0"/>
          <w:sz w:val="32"/>
          <w:szCs w:val="32"/>
        </w:rPr>
        <w:t>四、培养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Cs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（一）集中统一培训。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由各</w:t>
      </w:r>
      <w:r>
        <w:rPr>
          <w:rFonts w:hint="eastAsia" w:ascii="仿宋_GB2312" w:eastAsia="仿宋_GB2312"/>
          <w:spacing w:val="0"/>
          <w:sz w:val="32"/>
          <w:szCs w:val="32"/>
        </w:rPr>
        <w:t>司法所具体负责，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集中或者</w:t>
      </w:r>
      <w:r>
        <w:rPr>
          <w:rFonts w:hint="eastAsia" w:ascii="仿宋_GB2312" w:eastAsia="仿宋_GB2312"/>
          <w:spacing w:val="0"/>
          <w:sz w:val="32"/>
          <w:szCs w:val="32"/>
        </w:rPr>
        <w:t>分期分批对“法律明白人”“法治带头人”进行培训、轮训，每年“法律明白人”“法治带头人”培训不少于1次，半天4课时。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（二）线上培训交流。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各司法所也</w:t>
      </w:r>
      <w:r>
        <w:rPr>
          <w:rFonts w:hint="eastAsia" w:ascii="仿宋_GB2312" w:eastAsia="仿宋_GB2312"/>
          <w:spacing w:val="0"/>
          <w:sz w:val="32"/>
          <w:szCs w:val="32"/>
        </w:rPr>
        <w:t>可根据工作需要，适时开展“法律明白人”“法治带头人”线上培训交流。组建“法律明白人”“法治带头人”微信群、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/>
          <w:spacing w:val="0"/>
          <w:sz w:val="32"/>
          <w:szCs w:val="32"/>
        </w:rPr>
        <w:t>群，通过不定期推送法律知识、法治信息、案例解读、组织网上互动交流等方式，提高培训的针对性和实效性，扩大培训覆盖面。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bCs/>
          <w:spacing w:val="0"/>
          <w:sz w:val="32"/>
          <w:szCs w:val="32"/>
        </w:rPr>
        <w:t>（三）现场教学实训。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各司法所</w:t>
      </w:r>
      <w:r>
        <w:rPr>
          <w:rFonts w:hint="eastAsia" w:ascii="仿宋_GB2312" w:eastAsia="仿宋_GB2312"/>
          <w:spacing w:val="0"/>
          <w:sz w:val="32"/>
          <w:szCs w:val="32"/>
        </w:rPr>
        <w:t>要积极组织开展法治实践能力培训，包含依法参与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社区事务</w:t>
      </w:r>
      <w:r>
        <w:rPr>
          <w:rFonts w:hint="eastAsia" w:ascii="仿宋_GB2312" w:eastAsia="仿宋_GB2312"/>
          <w:spacing w:val="0"/>
          <w:sz w:val="32"/>
          <w:szCs w:val="32"/>
        </w:rPr>
        <w:t>管理能力、法治宣传能力、矛盾纠纷信息上报能力、法律服务引导能力、纠纷调处能力等，可以采取以案释法、案例指导、旁听庭审、模拟法庭等多种法治实践形式。每年对“法律明白人”“法治带头人”开展现场实践培训不少于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hint="eastAsia" w:ascii="黑体" w:hAnsi="黑体" w:eastAsia="黑体"/>
          <w:bCs/>
          <w:spacing w:val="0"/>
          <w:sz w:val="32"/>
          <w:szCs w:val="32"/>
        </w:rPr>
        <w:t>五、管理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  <w:lang w:eastAsia="zh-CN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2098" w:right="1247" w:bottom="1985" w:left="1247" w:header="1701" w:footer="1531" w:gutter="0"/>
          <w:pgNumType w:chapSep="emDash"/>
          <w:cols w:space="425" w:num="1"/>
          <w:docGrid w:linePitch="579" w:charSpace="28703"/>
        </w:sect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pacing w:val="0"/>
          <w:sz w:val="32"/>
          <w:szCs w:val="32"/>
        </w:rPr>
        <w:t>司法所应建立健全“法律明白人”“法治带头人”日常管理制度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，及时</w:t>
      </w:r>
      <w:r>
        <w:rPr>
          <w:rFonts w:hint="eastAsia" w:ascii="仿宋_GB2312" w:eastAsia="仿宋_GB2312"/>
          <w:spacing w:val="0"/>
          <w:sz w:val="32"/>
          <w:szCs w:val="32"/>
        </w:rPr>
        <w:t>进行调整、充实、增补，并建档立卡，定期报区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司法</w:t>
      </w:r>
      <w:r>
        <w:rPr>
          <w:rFonts w:hint="eastAsia" w:ascii="仿宋_GB2312" w:eastAsia="仿宋_GB2312"/>
          <w:spacing w:val="0"/>
          <w:sz w:val="32"/>
          <w:szCs w:val="32"/>
        </w:rPr>
        <w:t>局审核确认，不断优化“法律明白人”“法治带头人”队伍知识、年龄、文化结构，始终保持队伍稳定性和战斗力。区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司法</w:t>
      </w:r>
      <w:r>
        <w:rPr>
          <w:rFonts w:hint="eastAsia" w:ascii="仿宋_GB2312" w:eastAsia="仿宋_GB2312"/>
          <w:spacing w:val="0"/>
          <w:sz w:val="32"/>
          <w:szCs w:val="32"/>
        </w:rPr>
        <w:t>局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pacing w:val="0"/>
          <w:sz w:val="32"/>
          <w:szCs w:val="32"/>
        </w:rPr>
        <w:t>开展“法律明白人”“法治带头人”考核评价工作，重点考核评价其遵纪守法、普法宣传、业务培训、发挥示范带头作用等方面情况。坚持正向激励，对表现优异、成绩突出的“法律明白人”“法治带头人”，可适时组织进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荣誉</w:t>
      </w:r>
      <w:r>
        <w:rPr>
          <w:rFonts w:hint="eastAsia" w:ascii="仿宋_GB2312" w:eastAsia="仿宋_GB2312"/>
          <w:spacing w:val="0"/>
          <w:sz w:val="32"/>
          <w:szCs w:val="32"/>
        </w:rPr>
        <w:t>表彰，以增强荣誉感和责任感。同时，加强对“法律明白人”“法治带头人”的动态管理，对不认真履职，发生违纪违法行为及有其他不符合规定条件的，及时予以清退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left" w:pos="1020"/>
      </w:tabs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t>二、发文处理之3-1-1</w:t>
    </w:r>
  </w:p>
  <w:p>
    <w:pPr>
      <w:pStyle w:val="5"/>
      <w:pBdr>
        <w:bottom w:val="none" w:color="auto" w:sz="0" w:space="0"/>
      </w:pBdr>
      <w:jc w:val="both"/>
      <w:rPr>
        <w:rFonts w:hint="eastAsia" w:ascii="黑体" w:eastAsia="黑体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76C67"/>
    <w:rsid w:val="0F4C12FD"/>
    <w:rsid w:val="1743678A"/>
    <w:rsid w:val="1EA968F0"/>
    <w:rsid w:val="25B42DE6"/>
    <w:rsid w:val="2C0A7419"/>
    <w:rsid w:val="2F5C17C8"/>
    <w:rsid w:val="37EF3131"/>
    <w:rsid w:val="3BFA3E9B"/>
    <w:rsid w:val="4CD76C67"/>
    <w:rsid w:val="4E9055B6"/>
    <w:rsid w:val="4F467FBC"/>
    <w:rsid w:val="5CAB4964"/>
    <w:rsid w:val="61FA30BB"/>
    <w:rsid w:val="657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黑体" w:hAnsi="黑体" w:eastAsia="黑体" w:cs="Times New Roman"/>
      <w:kern w:val="44"/>
      <w:sz w:val="40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黑体" w:hAnsi="黑体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样式3"/>
    <w:basedOn w:val="1"/>
    <w:qFormat/>
    <w:uiPriority w:val="0"/>
    <w:pPr>
      <w:spacing w:line="360" w:lineRule="exact"/>
    </w:pPr>
    <w:rPr>
      <w:rFonts w:ascii="Times New Roman" w:hAnsi="Times New Roman" w:eastAsia="宋体"/>
      <w:sz w:val="21"/>
    </w:rPr>
  </w:style>
  <w:style w:type="paragraph" w:customStyle="1" w:styleId="10">
    <w:name w:val="样式4"/>
    <w:basedOn w:val="1"/>
    <w:qFormat/>
    <w:uiPriority w:val="0"/>
    <w:pPr>
      <w:spacing w:line="560" w:lineRule="exact"/>
    </w:pPr>
    <w:rPr>
      <w:rFonts w:eastAsia="仿宋_GB2312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2020-05-28T08:21:00Z</dcterms:created>
  <dc:creator>应小木</dc:creator>
  <cp:lastModifiedBy>应小木</cp:lastModifiedBy>
  <dcterms:modified xsi:type="dcterms:W3CDTF">2020-05-28T08:22:28Z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