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普陀区公共停车场（库）机动车停放收费管理区域试点范围</w:t>
      </w: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试点区域</w:t>
      </w:r>
      <w:r>
        <w:rPr>
          <w:rFonts w:hint="eastAsia" w:ascii="仿宋" w:hAnsi="仿宋" w:eastAsia="仿宋" w:cs="仿宋"/>
          <w:sz w:val="28"/>
          <w:szCs w:val="28"/>
        </w:rPr>
        <w:t>：志丹路、光新路、江宁路、长寿路、万航渡路、曹杨路、宁夏路、金沙江路、大渡河路、云岭东路、真北路、新村路围合区域。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91440</wp:posOffset>
            </wp:positionV>
            <wp:extent cx="5269865" cy="4391660"/>
            <wp:effectExtent l="0" t="0" r="6985" b="8890"/>
            <wp:wrapNone/>
            <wp:docPr id="1" name="图片 1" descr="试点区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试点区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91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320" w:firstLineChars="10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普陀区试点区域内公共停车场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（</w:t>
      </w:r>
      <w:r>
        <w:rPr>
          <w:rFonts w:hint="eastAsia" w:ascii="华文中宋" w:hAnsi="华文中宋" w:eastAsia="华文中宋" w:cs="华文中宋"/>
          <w:sz w:val="32"/>
          <w:szCs w:val="32"/>
        </w:rPr>
        <w:t>库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320" w:firstLineChars="10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机动车停放计费等级划分办法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试点区域整体为同一类地段：普陀区公共停车场收费试点区域。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公共停车场（库）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按</w:t>
      </w:r>
      <w:r>
        <w:rPr>
          <w:rFonts w:hint="eastAsia" w:ascii="仿宋" w:hAnsi="仿宋" w:eastAsia="仿宋" w:cs="仿宋"/>
          <w:sz w:val="28"/>
          <w:szCs w:val="28"/>
        </w:rPr>
        <w:t>设施、设备及落实管理等状况分三等：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等停车场（库）：立体停车场（库）或两层及以上机械式立体车库。视频识别电子收费系统并联网、全覆盖监控系统、自动化消防及防汛系统、新能源车充电设施、无障碍停车位、保洁等设施设备齐全，并落实专人24小时负责运营管理的停车场（库）。达到上海市普陀区公共停车场（库）企业质量信誉考核相应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等停车场（库）：立体停车场（库）或普通停车场。视频识别电子收费系统并联网、监控系统、安全防护、消防设施配套、新能源车充电设施、无障碍停车位、专人负责运营管理的停车场。达到上海市普陀区公共停车场（库）企业质量信誉考核相应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三等停车场（库）：普通停车场或临时停车场。电子收费系统、泊位设施合理、通道符合安全要求、配备消防设施。达到上海市普陀区公共停车场（库）企业质量信誉考核相应标准。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843" w:firstLineChars="3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普陀区试点区域公共停车场（库）机动车停放收费标准</w:t>
      </w:r>
    </w:p>
    <w:p>
      <w:pPr>
        <w:adjustRightInd w:val="0"/>
        <w:snapToGrid w:val="0"/>
        <w:spacing w:line="560" w:lineRule="exact"/>
        <w:ind w:firstLine="6720" w:firstLineChars="28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单位：元/小时</w:t>
      </w:r>
    </w:p>
    <w:tbl>
      <w:tblPr>
        <w:tblStyle w:val="3"/>
        <w:tblW w:w="8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179"/>
        <w:gridCol w:w="2179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一等停车场（库）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二等停车场（库）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三等停车场（库）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普陀区公共停车场（库）收费试点区域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15元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12元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以上为小型车最高收费标准，管理单位可在不高于此价格范围内自主下浮调整。大型车（按照公安交警部门规定的车辆分类）、特大型车（载重八吨以上货车或铰接式客车和拖挂车）、特种车（车身长于十四米及以上或载重四十吨及以上的车辆）最高收费标准为小型车收费基础上分别加1、2、3元。摩托车按小型车的50%计算。</w:t>
      </w:r>
    </w:p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普陀区公共停车场（库）机动车停放收费管理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区域试点收费服务公示牌（范式）</w:t>
      </w:r>
    </w:p>
    <w:tbl>
      <w:tblPr>
        <w:tblStyle w:val="4"/>
        <w:tblpPr w:leftFromText="180" w:rightFromText="180" w:vertAnchor="text" w:horzAnchor="page" w:tblpX="1657" w:tblpY="284"/>
        <w:tblOverlap w:val="never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440"/>
        <w:gridCol w:w="1335"/>
        <w:gridCol w:w="1269"/>
        <w:gridCol w:w="141"/>
        <w:gridCol w:w="1410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场（库）名称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备案证号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区属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经营企业名称</w:t>
            </w:r>
          </w:p>
        </w:tc>
        <w:tc>
          <w:tcPr>
            <w:tcW w:w="688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定价形式</w:t>
            </w:r>
          </w:p>
        </w:tc>
        <w:tc>
          <w:tcPr>
            <w:tcW w:w="688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政府指导价/市场调节价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收费依据</w:t>
            </w:r>
          </w:p>
        </w:tc>
        <w:tc>
          <w:tcPr>
            <w:tcW w:w="688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025" w:type="dxa"/>
            <w:tcBorders>
              <w:tl2br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车型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实际收费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标准（小时或次）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小型车</w:t>
            </w: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大型车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特大型车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特种车</w:t>
            </w:r>
          </w:p>
        </w:tc>
        <w:tc>
          <w:tcPr>
            <w:tcW w:w="12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摩托车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日间（时间段：   ）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夜间（时间段：   ）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工作日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周末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监督电话</w:t>
            </w:r>
          </w:p>
        </w:tc>
        <w:tc>
          <w:tcPr>
            <w:tcW w:w="6886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经营企业投诉电话：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86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价格举报电话：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12358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86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行业监督电话：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688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计费规定：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按时计费：停放时间不足1小时的，按1小时计费，超过1小时的，以每半小时为计费单位，停放时间少于XX分钟（含XX分钟），免收停车费。停放时间超过8小时至24小时内（含24小时），按8小时计费。连续停放超过24小时，超过部分按标准重新计算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按次计费：以机动车单次进、出场（库）计，停放超过XX分钟将按次连续计费。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若停放人遗失尚未结算的停车票/卡，车辆停放费用结算按XXXXX。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本收费服务公示牌自20XX年X月X日期执行。</w:t>
      </w:r>
    </w:p>
    <w:p>
      <w:pPr>
        <w:jc w:val="center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  <w:lang w:val="en-US" w:eastAsia="zh-CN"/>
        </w:rPr>
        <w:t xml:space="preserve">                                                                 </w:t>
      </w:r>
      <w:r>
        <w:rPr>
          <w:rFonts w:hint="eastAsia" w:ascii="仿宋" w:hAnsi="仿宋" w:eastAsia="仿宋" w:cs="仿宋"/>
          <w:szCs w:val="21"/>
        </w:rPr>
        <w:t>经营企业:XXXX</w:t>
      </w:r>
    </w:p>
    <w:p>
      <w:pPr>
        <w:ind w:firstLine="6720" w:firstLineChars="3200"/>
      </w:pPr>
      <w:bookmarkStart w:id="0" w:name="_GoBack"/>
      <w:bookmarkEnd w:id="0"/>
      <w:r>
        <w:rPr>
          <w:rFonts w:hint="eastAsia" w:ascii="仿宋" w:hAnsi="仿宋" w:eastAsia="仿宋" w:cs="仿宋"/>
          <w:szCs w:val="21"/>
        </w:rPr>
        <w:t>时间：20XX年X月X日</w: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E2D092"/>
    <w:multiLevelType w:val="singleLevel"/>
    <w:tmpl w:val="F4E2D0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75689"/>
    <w:rsid w:val="17F17764"/>
    <w:rsid w:val="1E975689"/>
    <w:rsid w:val="659F12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2019-03-06T05:27:00Z</dcterms:created>
  <dc:creator>ntko</dc:creator>
  <cp:lastModifiedBy>ntko</cp:lastModifiedBy>
  <dcterms:modified xsi:type="dcterms:W3CDTF">2019-03-06T05:29:15Z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