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0B2" w:rsidRDefault="00AF5494">
      <w:pPr>
        <w:tabs>
          <w:tab w:val="left" w:pos="2331"/>
          <w:tab w:val="center" w:pos="4824"/>
        </w:tabs>
        <w:spacing w:line="500" w:lineRule="exact"/>
        <w:jc w:val="center"/>
        <w:rPr>
          <w:rFonts w:ascii="宋体" w:hAnsi="宋体"/>
          <w:b/>
          <w:sz w:val="32"/>
          <w:szCs w:val="32"/>
        </w:rPr>
      </w:pPr>
      <w:r>
        <w:rPr>
          <w:rFonts w:ascii="宋体" w:hAnsi="宋体" w:hint="eastAsia"/>
          <w:b/>
          <w:sz w:val="32"/>
          <w:szCs w:val="32"/>
        </w:rPr>
        <w:t>普陀区东新村四期北块二号地块旧城区改建</w:t>
      </w:r>
    </w:p>
    <w:p w:rsidR="006B70B2" w:rsidRDefault="00AF5494">
      <w:pPr>
        <w:spacing w:line="500" w:lineRule="exact"/>
        <w:jc w:val="center"/>
        <w:rPr>
          <w:rFonts w:ascii="仿宋" w:eastAsia="仿宋" w:hAnsi="仿宋"/>
          <w:sz w:val="28"/>
          <w:szCs w:val="28"/>
        </w:rPr>
      </w:pPr>
      <w:r>
        <w:rPr>
          <w:rFonts w:ascii="宋体" w:hAnsi="宋体" w:hint="eastAsia"/>
          <w:b/>
          <w:sz w:val="32"/>
          <w:szCs w:val="32"/>
        </w:rPr>
        <w:t>房屋征收补偿方案</w:t>
      </w:r>
    </w:p>
    <w:p w:rsidR="006B70B2" w:rsidRDefault="00AF5494">
      <w:pPr>
        <w:spacing w:line="500" w:lineRule="exact"/>
        <w:ind w:firstLine="555"/>
        <w:rPr>
          <w:rFonts w:ascii="仿宋" w:eastAsia="仿宋" w:hAnsi="仿宋"/>
          <w:sz w:val="28"/>
          <w:szCs w:val="28"/>
        </w:rPr>
      </w:pPr>
      <w:r>
        <w:rPr>
          <w:rFonts w:ascii="仿宋" w:eastAsia="仿宋" w:hAnsi="仿宋" w:hint="eastAsia"/>
          <w:sz w:val="28"/>
          <w:szCs w:val="28"/>
        </w:rPr>
        <w:t xml:space="preserve">                        </w:t>
      </w:r>
    </w:p>
    <w:p w:rsidR="006B70B2" w:rsidRDefault="00AF5494">
      <w:pPr>
        <w:spacing w:line="500" w:lineRule="exact"/>
        <w:ind w:firstLine="555"/>
        <w:rPr>
          <w:rFonts w:ascii="仿宋" w:eastAsia="仿宋" w:hAnsi="仿宋"/>
          <w:sz w:val="28"/>
          <w:szCs w:val="28"/>
        </w:rPr>
      </w:pPr>
      <w:r>
        <w:rPr>
          <w:rFonts w:ascii="仿宋" w:eastAsia="仿宋" w:hAnsi="仿宋" w:hint="eastAsia"/>
          <w:sz w:val="28"/>
          <w:szCs w:val="28"/>
        </w:rPr>
        <w:t>为做好普陀区东新村四期北块二号地块房屋征收与补偿工作，加快推进旧城区改建，改善居民的居住条件和环境，通过前期座谈会、听证会等形式广泛征求征收范围内被征收人、公有房屋承租人意见和建议，根据房屋征收法律法规，结合本区、本地块实际情况，制定房屋征收补偿方案如下：</w:t>
      </w:r>
    </w:p>
    <w:p w:rsidR="006B70B2" w:rsidRDefault="00AF5494">
      <w:pPr>
        <w:snapToGrid w:val="0"/>
        <w:spacing w:line="500" w:lineRule="exact"/>
        <w:ind w:firstLineChars="196" w:firstLine="551"/>
        <w:rPr>
          <w:rFonts w:ascii="仿宋" w:eastAsia="仿宋" w:hAnsi="仿宋"/>
          <w:b/>
          <w:sz w:val="28"/>
          <w:szCs w:val="28"/>
        </w:rPr>
      </w:pPr>
      <w:r>
        <w:rPr>
          <w:rFonts w:ascii="仿宋" w:eastAsia="仿宋" w:hAnsi="仿宋" w:hint="eastAsia"/>
          <w:b/>
          <w:sz w:val="28"/>
          <w:szCs w:val="28"/>
        </w:rPr>
        <w:t>一、房屋征收范围</w:t>
      </w:r>
    </w:p>
    <w:p w:rsidR="006B70B2" w:rsidRDefault="00AF5494">
      <w:pPr>
        <w:spacing w:line="500" w:lineRule="exact"/>
        <w:ind w:firstLine="555"/>
        <w:rPr>
          <w:rFonts w:ascii="仿宋" w:eastAsia="仿宋" w:hAnsi="仿宋"/>
          <w:color w:val="0000FF"/>
          <w:sz w:val="24"/>
        </w:rPr>
      </w:pPr>
      <w:r>
        <w:rPr>
          <w:rFonts w:ascii="仿宋" w:eastAsia="仿宋" w:hAnsi="仿宋" w:hint="eastAsia"/>
          <w:sz w:val="28"/>
          <w:szCs w:val="28"/>
        </w:rPr>
        <w:t>根据《上海市普陀区人民政府关于同意东新村四期北块旧城区改建房屋征收范围的批复》（普府[2016] 139号），东新村四期北块二号地块旧城区改建房屋征收范围为：东新路210弄4号、7号-10号;东新路小辛庄2</w:t>
      </w:r>
      <w:r w:rsidR="00631998">
        <w:rPr>
          <w:rFonts w:ascii="仿宋" w:eastAsia="仿宋" w:hAnsi="仿宋" w:hint="eastAsia"/>
          <w:sz w:val="28"/>
          <w:szCs w:val="28"/>
        </w:rPr>
        <w:t>号</w:t>
      </w:r>
      <w:r>
        <w:rPr>
          <w:rFonts w:ascii="仿宋" w:eastAsia="仿宋" w:hAnsi="仿宋" w:hint="eastAsia"/>
          <w:sz w:val="28"/>
          <w:szCs w:val="28"/>
        </w:rPr>
        <w:t>-123号;永定新村132号-235号、238号-341号、350号-361号（以上门牌号包括甲、乙、丙、丁、前、后、上、下等）。</w:t>
      </w:r>
    </w:p>
    <w:p w:rsidR="006B70B2" w:rsidRDefault="00AF5494">
      <w:pPr>
        <w:snapToGrid w:val="0"/>
        <w:spacing w:line="500" w:lineRule="exact"/>
        <w:ind w:firstLine="562"/>
        <w:rPr>
          <w:rFonts w:ascii="仿宋" w:eastAsia="仿宋" w:hAnsi="仿宋"/>
          <w:b/>
          <w:sz w:val="28"/>
          <w:szCs w:val="28"/>
        </w:rPr>
      </w:pPr>
      <w:r>
        <w:rPr>
          <w:rFonts w:ascii="仿宋" w:eastAsia="仿宋" w:hAnsi="仿宋" w:hint="eastAsia"/>
          <w:b/>
          <w:sz w:val="28"/>
          <w:szCs w:val="28"/>
        </w:rPr>
        <w:t>二、房屋征收与补偿的政策及法律依据</w:t>
      </w:r>
    </w:p>
    <w:p w:rsidR="006B70B2" w:rsidRDefault="00AF5494">
      <w:pPr>
        <w:snapToGrid w:val="0"/>
        <w:spacing w:line="500" w:lineRule="exact"/>
        <w:ind w:firstLine="562"/>
        <w:rPr>
          <w:rFonts w:ascii="仿宋" w:eastAsia="仿宋" w:hAnsi="仿宋"/>
          <w:sz w:val="28"/>
          <w:szCs w:val="28"/>
        </w:rPr>
      </w:pPr>
      <w:r>
        <w:rPr>
          <w:rFonts w:ascii="仿宋" w:eastAsia="仿宋" w:hAnsi="仿宋" w:hint="eastAsia"/>
          <w:sz w:val="28"/>
          <w:szCs w:val="28"/>
        </w:rPr>
        <w:t>（一）《国有土地上房屋征收与补偿条例》（国务院令第590号）；</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（二）《上海市国有土地上房屋征收与补偿实施细则》（上海市人民政府令第71号，以下简称《实施细则》）；</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（三）《关于贯彻执行&lt;上海市国有土地上房屋征收与补偿实施细则&gt;的若干意见》（沪府办发〔2012〕24号）；</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（四）《上海市人民政府办公厅延长《关于贯彻执行&lt;上海市国有土地上房屋征收与补偿实施细则&gt;的若干意见》有效期的通知》（沪府办发[2017]17号）</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（五）《关于贯彻执行&lt;上海市国有土地上房屋征收与补偿实施细则&gt;若干具体问题的意见》（沪房管规范征〔2012〕9号）；</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（六）《</w:t>
      </w:r>
      <w:r>
        <w:rPr>
          <w:rFonts w:ascii="仿宋" w:eastAsia="仿宋" w:hAnsi="仿宋"/>
          <w:sz w:val="28"/>
          <w:szCs w:val="28"/>
        </w:rPr>
        <w:t>上海市住房和城乡建设管理委员会关于公布部分规范性文件清理结果的通知</w:t>
      </w:r>
      <w:r>
        <w:rPr>
          <w:rFonts w:ascii="仿宋" w:eastAsia="仿宋" w:hAnsi="仿宋" w:hint="eastAsia"/>
          <w:sz w:val="28"/>
          <w:szCs w:val="28"/>
        </w:rPr>
        <w:t>》（沪建法规〔2016〕664号）；</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（七）《国有土地上房屋征收评估办法》（建房〔2011〕77号）；</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（八）《关于印发&lt;上海市国有土地上房屋征收评估管理规定&gt;的通知》（沪房管规范市〔2013〕7号）；</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（九）《普陀区人民政府关于确定本区国有土地上房屋征收与补偿相关标准的通知》（普府〔2012〕60号）；</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（十）《上海市普陀区人民政府关于重新发布&lt;普陀区人民政府关于确定本区国有土地上房屋征收与补偿相关标准的通知&gt;的通知》（普府〔2016〕69号）；</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（十一）《上海市人民政府关于批转市住房保障房屋管理局制定的&lt;上海市国有土地上房屋征收补偿决定的若干规定&gt;的通知》（沪府发〔2012〕73号）；</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（十二）《上海市人民政府关于延长&lt;上海市国有土地上房屋征收补偿决定的若干规定&gt;有效期的通知》 (沪府发〔2017〕30号 )</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（十三）《关于公有居住房屋承租人户口迁离本市或死亡的确定房屋征收补偿协议签订主体的通知》（沪房管规范征〔2013〕9号）；</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（十四）《关于进一步规范本市房屋征收补偿工作的通知》（沪房管征〔2014〕243号）；</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 (十五）市、区有关部门的其他相关文件。</w:t>
      </w:r>
    </w:p>
    <w:p w:rsidR="006B70B2" w:rsidRDefault="00AF5494">
      <w:pPr>
        <w:snapToGrid w:val="0"/>
        <w:spacing w:line="500" w:lineRule="exact"/>
        <w:ind w:firstLineChars="200" w:firstLine="562"/>
        <w:rPr>
          <w:rFonts w:ascii="仿宋" w:eastAsia="仿宋" w:hAnsi="仿宋"/>
          <w:sz w:val="28"/>
          <w:szCs w:val="28"/>
        </w:rPr>
      </w:pPr>
      <w:r>
        <w:rPr>
          <w:rFonts w:ascii="仿宋" w:eastAsia="仿宋" w:hAnsi="仿宋" w:hint="eastAsia"/>
          <w:b/>
          <w:sz w:val="28"/>
          <w:szCs w:val="28"/>
        </w:rPr>
        <w:t>三、房屋征收补偿协议</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(一)本方案中下列用语的含义</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1.被征收人，是指被征收房屋的所有权人。</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2.公有房屋承租人，是指执行政府规定租金标准、与公有房屋产权人或者管理人建立租赁关系的个人和单位。</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3.共同居住人，是指作出房屋征收决定时，在被征收房屋处具有常住户口，并实际居住生活一年以上（特殊情况除外），且本市无其他住房或者虽有其他住房但居住困难的人。</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4.房屋使用人，是指实际占用房屋的单位和个人。</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(二)房屋征收补偿的计户标准</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被征收人、公有房屋承租人以征收决定作出之日合法有效的房地产权证书、租用公房凭证、公有非居住房屋租赁合同等权利凭证计户，按户进行补偿。</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(三)房屋征收补偿协议签订主体的确定</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房屋征收补偿协议应当由房屋征收部门与被征收人、公有房屋承租人签订。被征收人以房地产权证书等权利凭证所载明的权利人为准，公有房屋承租人以</w:t>
      </w:r>
      <w:r>
        <w:rPr>
          <w:rFonts w:ascii="仿宋" w:eastAsia="仿宋" w:hAnsi="仿宋" w:hint="eastAsia"/>
          <w:sz w:val="28"/>
          <w:szCs w:val="28"/>
        </w:rPr>
        <w:lastRenderedPageBreak/>
        <w:t>租用公房凭证、公有非居住房屋租赁合同所载明的承租人为准。</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房屋征收范围内的公有居住房屋承租人户口迁离本市的，本处有本市常住户口的共同居住人可以协商变更承租人，变更后的公有房屋承租人作为补偿协议签订主体。</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房屋征收范围内的公有居住房屋承租人死亡的，由本处有本市常住户口的共同居住人继续履行租赁合同；无共同居住人的，其生前有本市常住户口的配偶和直系亲属可以继续履行租赁合同。继续履行合同者有多人的，应当自行协商确定承租人。</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房屋征收决定作出前，各当事人之间仍未协商一致的或者未提出变更申请的，房屋征收部门可以提请房屋征收评议监督小组组织协商确定签订主体。协商一致的主体作为补偿协议签约主体；协商不一致或者无故缺席的，由房屋征收评议监督小组提出确定签订主体的建议，建议及相关协商资料送交公有居住房屋出租人或其委托的管理人。公有居住房屋出租人或其委托的管理人根据《上海市房屋租赁条例》及其相关规定书面确定公有房屋承租人，确定后的公有房屋承租人作为补偿协议签订主体。</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(四)房屋征收补偿协议的订立</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征收决定作出后，房屋征收部门组织被征收人、公有房屋承租人根据本房屋征收补偿方案签订附生效条件的补偿协议。至签约期限届满达到规定签约比例的，补偿协议生效；至签约期限届满未达到规定签约比例的，征收决定终止执行。</w:t>
      </w:r>
    </w:p>
    <w:p w:rsidR="006B70B2" w:rsidRDefault="00AF5494">
      <w:pPr>
        <w:snapToGrid w:val="0"/>
        <w:spacing w:line="500" w:lineRule="exact"/>
        <w:ind w:firstLine="560"/>
        <w:rPr>
          <w:rFonts w:ascii="仿宋" w:eastAsia="仿宋" w:hAnsi="仿宋"/>
          <w:sz w:val="28"/>
          <w:szCs w:val="28"/>
        </w:rPr>
      </w:pPr>
      <w:r>
        <w:rPr>
          <w:rFonts w:ascii="仿宋" w:eastAsia="仿宋" w:hAnsi="仿宋" w:hint="eastAsia"/>
          <w:sz w:val="28"/>
          <w:szCs w:val="28"/>
        </w:rPr>
        <w:t>本地块货币补偿集中签约期内的签约户数与签约期限内的签约户数合并计算签约比例，房屋征收补偿协议生效条件为签约比例达到85%</w:t>
      </w:r>
      <w:r>
        <w:rPr>
          <w:rFonts w:ascii="仿宋" w:eastAsia="仿宋" w:hAnsi="仿宋" w:cs="宋体" w:hint="eastAsia"/>
          <w:kern w:val="0"/>
          <w:sz w:val="28"/>
          <w:szCs w:val="28"/>
        </w:rPr>
        <w:t>。</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若被征收人、公有房屋承租人因故不能亲自签约的，可依法书面委托代理人签约。</w:t>
      </w:r>
    </w:p>
    <w:p w:rsidR="006B70B2" w:rsidRDefault="00AF5494">
      <w:pPr>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t>四、被征收房屋建筑面积的认定</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对于已经登记的房屋，其建筑面积，一般以房地产权证书和房地产登记簿的记载为准；房地产权证书和房地产登记簿的记载不一致的，除有证据证明房地产登记簿确有错误外，以房地产登记簿为准。</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对于未经登记的房屋，以相关批准文件等合法有效的权利凭证记载的建筑面积为准，实际建筑面积小于相关批准文件等记载的建筑面积的，以实际建筑面积为准。</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相关批准文件等未记载建筑面积，或者虽无批准文件但有相关材料证明在1981年以前已经建造并用于居住的房屋，以房屋行政管理部门认定的房屋调查机构实地丈量的建筑面积为准。</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区（县）人民政府将组织有关行政管理部门依法对征收范围内未经登记的建筑进行调查、认定和处理。对认定为合法建筑和未超过批准期限的临时建筑的，房屋征收部门将给予补偿；对认定为违法建筑和超过批准期限的临时建筑的，不予补偿。</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承租的公有非居住房屋，以房屋租赁合同记载的建筑面积为准。承租的公有居住房屋，以租用公房凭证所记载的建筑面积为准；租用公房凭证记载的是居住面积的，按下表所列的换算系数计算建筑面积：</w:t>
      </w:r>
    </w:p>
    <w:tbl>
      <w:tblPr>
        <w:tblpPr w:leftFromText="180" w:rightFromText="180" w:vertAnchor="page" w:horzAnchor="page" w:tblpX="1029" w:tblpY="790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4"/>
        <w:gridCol w:w="895"/>
        <w:gridCol w:w="851"/>
        <w:gridCol w:w="850"/>
        <w:gridCol w:w="1134"/>
        <w:gridCol w:w="1276"/>
        <w:gridCol w:w="1189"/>
        <w:gridCol w:w="1079"/>
        <w:gridCol w:w="992"/>
        <w:gridCol w:w="851"/>
      </w:tblGrid>
      <w:tr w:rsidR="006B70B2">
        <w:trPr>
          <w:trHeight w:val="1630"/>
        </w:trPr>
        <w:tc>
          <w:tcPr>
            <w:tcW w:w="914" w:type="dxa"/>
            <w:tcBorders>
              <w:top w:val="single" w:sz="4" w:space="0" w:color="auto"/>
              <w:left w:val="single" w:sz="4" w:space="0" w:color="auto"/>
              <w:bottom w:val="single" w:sz="4" w:space="0" w:color="auto"/>
              <w:right w:val="single" w:sz="4" w:space="0" w:color="auto"/>
            </w:tcBorders>
            <w:vAlign w:val="center"/>
          </w:tcPr>
          <w:p w:rsidR="006B70B2" w:rsidRDefault="00AF5494">
            <w:pPr>
              <w:snapToGrid w:val="0"/>
              <w:spacing w:line="500" w:lineRule="exact"/>
              <w:rPr>
                <w:rFonts w:ascii="仿宋" w:eastAsia="仿宋" w:hAnsi="仿宋"/>
                <w:sz w:val="28"/>
                <w:szCs w:val="28"/>
              </w:rPr>
            </w:pPr>
            <w:r>
              <w:rPr>
                <w:rFonts w:ascii="仿宋" w:eastAsia="仿宋" w:hAnsi="仿宋" w:hint="eastAsia"/>
                <w:sz w:val="28"/>
                <w:szCs w:val="28"/>
              </w:rPr>
              <w:t>房屋类型</w:t>
            </w:r>
          </w:p>
        </w:tc>
        <w:tc>
          <w:tcPr>
            <w:tcW w:w="895" w:type="dxa"/>
            <w:tcBorders>
              <w:top w:val="single" w:sz="4" w:space="0" w:color="auto"/>
              <w:left w:val="single" w:sz="4" w:space="0" w:color="auto"/>
              <w:bottom w:val="single" w:sz="4" w:space="0" w:color="auto"/>
              <w:right w:val="single" w:sz="4" w:space="0" w:color="auto"/>
            </w:tcBorders>
            <w:vAlign w:val="center"/>
          </w:tcPr>
          <w:p w:rsidR="006B70B2" w:rsidRDefault="00AF5494">
            <w:pPr>
              <w:snapToGrid w:val="0"/>
              <w:spacing w:line="500" w:lineRule="exact"/>
              <w:rPr>
                <w:rFonts w:ascii="仿宋" w:eastAsia="仿宋" w:hAnsi="仿宋"/>
                <w:sz w:val="28"/>
                <w:szCs w:val="28"/>
              </w:rPr>
            </w:pPr>
            <w:r>
              <w:rPr>
                <w:rFonts w:ascii="仿宋" w:eastAsia="仿宋" w:hAnsi="仿宋" w:hint="eastAsia"/>
                <w:sz w:val="28"/>
                <w:szCs w:val="28"/>
              </w:rPr>
              <w:t>公寓</w:t>
            </w:r>
          </w:p>
        </w:tc>
        <w:tc>
          <w:tcPr>
            <w:tcW w:w="851" w:type="dxa"/>
            <w:tcBorders>
              <w:top w:val="single" w:sz="4" w:space="0" w:color="auto"/>
              <w:left w:val="single" w:sz="4" w:space="0" w:color="auto"/>
              <w:bottom w:val="single" w:sz="4" w:space="0" w:color="auto"/>
              <w:right w:val="single" w:sz="4" w:space="0" w:color="auto"/>
            </w:tcBorders>
            <w:vAlign w:val="center"/>
          </w:tcPr>
          <w:p w:rsidR="006B70B2" w:rsidRDefault="00AF5494">
            <w:pPr>
              <w:snapToGrid w:val="0"/>
              <w:spacing w:line="500" w:lineRule="exact"/>
              <w:rPr>
                <w:rFonts w:ascii="仿宋" w:eastAsia="仿宋" w:hAnsi="仿宋"/>
                <w:sz w:val="28"/>
                <w:szCs w:val="28"/>
              </w:rPr>
            </w:pPr>
            <w:r>
              <w:rPr>
                <w:rFonts w:ascii="仿宋" w:eastAsia="仿宋" w:hAnsi="仿宋" w:hint="eastAsia"/>
                <w:sz w:val="28"/>
                <w:szCs w:val="28"/>
              </w:rPr>
              <w:t>独立住宅</w:t>
            </w:r>
          </w:p>
        </w:tc>
        <w:tc>
          <w:tcPr>
            <w:tcW w:w="850" w:type="dxa"/>
            <w:tcBorders>
              <w:top w:val="single" w:sz="4" w:space="0" w:color="auto"/>
              <w:left w:val="single" w:sz="4" w:space="0" w:color="auto"/>
              <w:bottom w:val="single" w:sz="4" w:space="0" w:color="auto"/>
              <w:right w:val="single" w:sz="4" w:space="0" w:color="auto"/>
            </w:tcBorders>
            <w:vAlign w:val="center"/>
          </w:tcPr>
          <w:p w:rsidR="006B70B2" w:rsidRDefault="00AF5494">
            <w:pPr>
              <w:snapToGrid w:val="0"/>
              <w:spacing w:line="500" w:lineRule="exact"/>
              <w:rPr>
                <w:rFonts w:ascii="仿宋" w:eastAsia="仿宋" w:hAnsi="仿宋"/>
                <w:sz w:val="28"/>
                <w:szCs w:val="28"/>
              </w:rPr>
            </w:pPr>
            <w:r>
              <w:rPr>
                <w:rFonts w:ascii="仿宋" w:eastAsia="仿宋" w:hAnsi="仿宋" w:hint="eastAsia"/>
                <w:sz w:val="28"/>
                <w:szCs w:val="28"/>
              </w:rPr>
              <w:t>新里住宅</w:t>
            </w:r>
          </w:p>
        </w:tc>
        <w:tc>
          <w:tcPr>
            <w:tcW w:w="1134" w:type="dxa"/>
            <w:tcBorders>
              <w:top w:val="single" w:sz="4" w:space="0" w:color="auto"/>
              <w:left w:val="single" w:sz="4" w:space="0" w:color="auto"/>
              <w:bottom w:val="single" w:sz="4" w:space="0" w:color="auto"/>
              <w:right w:val="single" w:sz="4" w:space="0" w:color="auto"/>
            </w:tcBorders>
            <w:vAlign w:val="center"/>
          </w:tcPr>
          <w:p w:rsidR="006B70B2" w:rsidRDefault="00AF5494">
            <w:pPr>
              <w:snapToGrid w:val="0"/>
              <w:spacing w:line="500" w:lineRule="exact"/>
              <w:rPr>
                <w:rFonts w:ascii="仿宋" w:eastAsia="仿宋" w:hAnsi="仿宋"/>
                <w:sz w:val="28"/>
                <w:szCs w:val="28"/>
              </w:rPr>
            </w:pPr>
            <w:r>
              <w:rPr>
                <w:rFonts w:ascii="仿宋" w:eastAsia="仿宋" w:hAnsi="仿宋" w:hint="eastAsia"/>
                <w:sz w:val="28"/>
                <w:szCs w:val="28"/>
              </w:rPr>
              <w:t>新工房（有电梯、成套）</w:t>
            </w:r>
          </w:p>
        </w:tc>
        <w:tc>
          <w:tcPr>
            <w:tcW w:w="1276" w:type="dxa"/>
            <w:tcBorders>
              <w:top w:val="single" w:sz="4" w:space="0" w:color="auto"/>
              <w:left w:val="single" w:sz="4" w:space="0" w:color="auto"/>
              <w:bottom w:val="single" w:sz="4" w:space="0" w:color="auto"/>
              <w:right w:val="single" w:sz="4" w:space="0" w:color="auto"/>
            </w:tcBorders>
            <w:vAlign w:val="center"/>
          </w:tcPr>
          <w:p w:rsidR="006B70B2" w:rsidRDefault="00AF5494">
            <w:pPr>
              <w:snapToGrid w:val="0"/>
              <w:spacing w:line="500" w:lineRule="exact"/>
              <w:rPr>
                <w:rFonts w:ascii="仿宋" w:eastAsia="仿宋" w:hAnsi="仿宋"/>
                <w:sz w:val="28"/>
                <w:szCs w:val="28"/>
              </w:rPr>
            </w:pPr>
            <w:r>
              <w:rPr>
                <w:rFonts w:ascii="仿宋" w:eastAsia="仿宋" w:hAnsi="仿宋" w:hint="eastAsia"/>
                <w:sz w:val="28"/>
                <w:szCs w:val="28"/>
              </w:rPr>
              <w:t>新工房（无电梯、成套）</w:t>
            </w:r>
          </w:p>
        </w:tc>
        <w:tc>
          <w:tcPr>
            <w:tcW w:w="1189" w:type="dxa"/>
            <w:tcBorders>
              <w:top w:val="single" w:sz="4" w:space="0" w:color="auto"/>
              <w:left w:val="single" w:sz="4" w:space="0" w:color="auto"/>
              <w:bottom w:val="single" w:sz="4" w:space="0" w:color="auto"/>
              <w:right w:val="single" w:sz="4" w:space="0" w:color="auto"/>
            </w:tcBorders>
            <w:vAlign w:val="center"/>
          </w:tcPr>
          <w:p w:rsidR="006B70B2" w:rsidRDefault="00AF5494">
            <w:pPr>
              <w:snapToGrid w:val="0"/>
              <w:spacing w:line="500" w:lineRule="exact"/>
              <w:rPr>
                <w:rFonts w:ascii="仿宋" w:eastAsia="仿宋" w:hAnsi="仿宋"/>
                <w:sz w:val="28"/>
                <w:szCs w:val="28"/>
              </w:rPr>
            </w:pPr>
            <w:r>
              <w:rPr>
                <w:rFonts w:ascii="仿宋" w:eastAsia="仿宋" w:hAnsi="仿宋" w:hint="eastAsia"/>
                <w:sz w:val="28"/>
                <w:szCs w:val="28"/>
              </w:rPr>
              <w:t>新工房（无电梯、不成套）</w:t>
            </w:r>
          </w:p>
        </w:tc>
        <w:tc>
          <w:tcPr>
            <w:tcW w:w="1079" w:type="dxa"/>
            <w:tcBorders>
              <w:top w:val="single" w:sz="4" w:space="0" w:color="auto"/>
              <w:left w:val="single" w:sz="4" w:space="0" w:color="auto"/>
              <w:bottom w:val="single" w:sz="4" w:space="0" w:color="auto"/>
              <w:right w:val="single" w:sz="4" w:space="0" w:color="auto"/>
            </w:tcBorders>
            <w:vAlign w:val="center"/>
          </w:tcPr>
          <w:p w:rsidR="006B70B2" w:rsidRDefault="00AF5494">
            <w:pPr>
              <w:snapToGrid w:val="0"/>
              <w:spacing w:line="500" w:lineRule="exact"/>
              <w:rPr>
                <w:rFonts w:ascii="仿宋" w:eastAsia="仿宋" w:hAnsi="仿宋"/>
                <w:sz w:val="28"/>
                <w:szCs w:val="28"/>
              </w:rPr>
            </w:pPr>
            <w:r>
              <w:rPr>
                <w:rFonts w:ascii="仿宋" w:eastAsia="仿宋" w:hAnsi="仿宋" w:hint="eastAsia"/>
                <w:sz w:val="28"/>
                <w:szCs w:val="28"/>
              </w:rPr>
              <w:t>“两万户”新工房</w:t>
            </w:r>
          </w:p>
        </w:tc>
        <w:tc>
          <w:tcPr>
            <w:tcW w:w="992" w:type="dxa"/>
            <w:tcBorders>
              <w:top w:val="single" w:sz="4" w:space="0" w:color="auto"/>
              <w:left w:val="single" w:sz="4" w:space="0" w:color="auto"/>
              <w:bottom w:val="single" w:sz="4" w:space="0" w:color="auto"/>
              <w:right w:val="single" w:sz="4" w:space="0" w:color="auto"/>
            </w:tcBorders>
            <w:vAlign w:val="center"/>
          </w:tcPr>
          <w:p w:rsidR="006B70B2" w:rsidRDefault="00AF5494">
            <w:pPr>
              <w:snapToGrid w:val="0"/>
              <w:spacing w:line="500" w:lineRule="exact"/>
              <w:rPr>
                <w:rFonts w:ascii="仿宋" w:eastAsia="仿宋" w:hAnsi="仿宋"/>
                <w:sz w:val="28"/>
                <w:szCs w:val="28"/>
              </w:rPr>
            </w:pPr>
            <w:r>
              <w:rPr>
                <w:rFonts w:ascii="仿宋" w:eastAsia="仿宋" w:hAnsi="仿宋" w:hint="eastAsia"/>
                <w:sz w:val="28"/>
                <w:szCs w:val="28"/>
              </w:rPr>
              <w:t>旧里住宅</w:t>
            </w:r>
          </w:p>
        </w:tc>
        <w:tc>
          <w:tcPr>
            <w:tcW w:w="851" w:type="dxa"/>
            <w:tcBorders>
              <w:top w:val="single" w:sz="4" w:space="0" w:color="auto"/>
              <w:left w:val="single" w:sz="4" w:space="0" w:color="auto"/>
              <w:bottom w:val="single" w:sz="4" w:space="0" w:color="auto"/>
              <w:right w:val="single" w:sz="4" w:space="0" w:color="auto"/>
            </w:tcBorders>
            <w:vAlign w:val="center"/>
          </w:tcPr>
          <w:p w:rsidR="006B70B2" w:rsidRDefault="00AF5494">
            <w:pPr>
              <w:snapToGrid w:val="0"/>
              <w:spacing w:line="500" w:lineRule="exact"/>
              <w:rPr>
                <w:rFonts w:ascii="仿宋" w:eastAsia="仿宋" w:hAnsi="仿宋"/>
                <w:sz w:val="28"/>
                <w:szCs w:val="28"/>
              </w:rPr>
            </w:pPr>
            <w:r>
              <w:rPr>
                <w:rFonts w:ascii="仿宋" w:eastAsia="仿宋" w:hAnsi="仿宋" w:hint="eastAsia"/>
                <w:sz w:val="28"/>
                <w:szCs w:val="28"/>
              </w:rPr>
              <w:t>简屋</w:t>
            </w:r>
          </w:p>
        </w:tc>
      </w:tr>
      <w:tr w:rsidR="006B70B2">
        <w:tc>
          <w:tcPr>
            <w:tcW w:w="914" w:type="dxa"/>
            <w:tcBorders>
              <w:top w:val="single" w:sz="4" w:space="0" w:color="auto"/>
              <w:left w:val="single" w:sz="4" w:space="0" w:color="auto"/>
              <w:bottom w:val="single" w:sz="4" w:space="0" w:color="auto"/>
              <w:right w:val="single" w:sz="4" w:space="0" w:color="auto"/>
            </w:tcBorders>
            <w:vAlign w:val="center"/>
          </w:tcPr>
          <w:p w:rsidR="006B70B2" w:rsidRDefault="00AF5494">
            <w:pPr>
              <w:snapToGrid w:val="0"/>
              <w:spacing w:line="500" w:lineRule="exact"/>
              <w:rPr>
                <w:rFonts w:ascii="仿宋" w:eastAsia="仿宋" w:hAnsi="仿宋"/>
                <w:sz w:val="28"/>
                <w:szCs w:val="28"/>
              </w:rPr>
            </w:pPr>
            <w:r>
              <w:rPr>
                <w:rFonts w:ascii="仿宋" w:eastAsia="仿宋" w:hAnsi="仿宋" w:hint="eastAsia"/>
                <w:sz w:val="28"/>
                <w:szCs w:val="28"/>
              </w:rPr>
              <w:t>换算系数</w:t>
            </w:r>
          </w:p>
        </w:tc>
        <w:tc>
          <w:tcPr>
            <w:tcW w:w="895" w:type="dxa"/>
            <w:tcBorders>
              <w:top w:val="single" w:sz="4" w:space="0" w:color="auto"/>
              <w:left w:val="single" w:sz="4" w:space="0" w:color="auto"/>
              <w:bottom w:val="single" w:sz="4" w:space="0" w:color="auto"/>
              <w:right w:val="single" w:sz="4" w:space="0" w:color="auto"/>
            </w:tcBorders>
            <w:vAlign w:val="center"/>
          </w:tcPr>
          <w:p w:rsidR="006B70B2" w:rsidRDefault="00AF5494">
            <w:pPr>
              <w:snapToGrid w:val="0"/>
              <w:spacing w:line="500" w:lineRule="exact"/>
              <w:rPr>
                <w:rFonts w:ascii="仿宋" w:eastAsia="仿宋" w:hAnsi="仿宋"/>
                <w:sz w:val="28"/>
                <w:szCs w:val="28"/>
              </w:rPr>
            </w:pPr>
            <w:r>
              <w:rPr>
                <w:rFonts w:ascii="仿宋" w:eastAsia="仿宋" w:hAnsi="仿宋" w:hint="eastAsia"/>
                <w:sz w:val="28"/>
                <w:szCs w:val="28"/>
              </w:rPr>
              <w:t>2.06</w:t>
            </w:r>
          </w:p>
        </w:tc>
        <w:tc>
          <w:tcPr>
            <w:tcW w:w="851" w:type="dxa"/>
            <w:tcBorders>
              <w:top w:val="single" w:sz="4" w:space="0" w:color="auto"/>
              <w:left w:val="single" w:sz="4" w:space="0" w:color="auto"/>
              <w:bottom w:val="single" w:sz="4" w:space="0" w:color="auto"/>
              <w:right w:val="single" w:sz="4" w:space="0" w:color="auto"/>
            </w:tcBorders>
            <w:vAlign w:val="center"/>
          </w:tcPr>
          <w:p w:rsidR="006B70B2" w:rsidRDefault="00AF5494">
            <w:pPr>
              <w:snapToGrid w:val="0"/>
              <w:spacing w:line="500" w:lineRule="exact"/>
              <w:rPr>
                <w:rFonts w:ascii="仿宋" w:eastAsia="仿宋" w:hAnsi="仿宋"/>
                <w:sz w:val="28"/>
                <w:szCs w:val="28"/>
              </w:rPr>
            </w:pPr>
            <w:r>
              <w:rPr>
                <w:rFonts w:ascii="仿宋" w:eastAsia="仿宋" w:hAnsi="仿宋" w:hint="eastAsia"/>
                <w:sz w:val="28"/>
                <w:szCs w:val="28"/>
              </w:rPr>
              <w:t>1.83</w:t>
            </w:r>
          </w:p>
        </w:tc>
        <w:tc>
          <w:tcPr>
            <w:tcW w:w="850" w:type="dxa"/>
            <w:tcBorders>
              <w:top w:val="single" w:sz="4" w:space="0" w:color="auto"/>
              <w:left w:val="single" w:sz="4" w:space="0" w:color="auto"/>
              <w:bottom w:val="single" w:sz="4" w:space="0" w:color="auto"/>
              <w:right w:val="single" w:sz="4" w:space="0" w:color="auto"/>
            </w:tcBorders>
            <w:vAlign w:val="center"/>
          </w:tcPr>
          <w:p w:rsidR="006B70B2" w:rsidRDefault="00AF5494">
            <w:pPr>
              <w:snapToGrid w:val="0"/>
              <w:spacing w:line="500" w:lineRule="exact"/>
              <w:rPr>
                <w:rFonts w:ascii="仿宋" w:eastAsia="仿宋" w:hAnsi="仿宋"/>
                <w:sz w:val="28"/>
                <w:szCs w:val="28"/>
              </w:rPr>
            </w:pPr>
            <w:r>
              <w:rPr>
                <w:rFonts w:ascii="仿宋" w:eastAsia="仿宋" w:hAnsi="仿宋" w:hint="eastAsia"/>
                <w:sz w:val="28"/>
                <w:szCs w:val="28"/>
              </w:rPr>
              <w:t>1.82</w:t>
            </w:r>
          </w:p>
        </w:tc>
        <w:tc>
          <w:tcPr>
            <w:tcW w:w="1134" w:type="dxa"/>
            <w:tcBorders>
              <w:top w:val="single" w:sz="4" w:space="0" w:color="auto"/>
              <w:left w:val="single" w:sz="4" w:space="0" w:color="auto"/>
              <w:bottom w:val="single" w:sz="4" w:space="0" w:color="auto"/>
              <w:right w:val="single" w:sz="4" w:space="0" w:color="auto"/>
            </w:tcBorders>
            <w:vAlign w:val="center"/>
          </w:tcPr>
          <w:p w:rsidR="006B70B2" w:rsidRDefault="00AF5494">
            <w:pPr>
              <w:snapToGrid w:val="0"/>
              <w:spacing w:line="500" w:lineRule="exact"/>
              <w:jc w:val="center"/>
              <w:rPr>
                <w:rFonts w:ascii="仿宋" w:eastAsia="仿宋" w:hAnsi="仿宋"/>
                <w:sz w:val="28"/>
                <w:szCs w:val="28"/>
              </w:rPr>
            </w:pPr>
            <w:r>
              <w:rPr>
                <w:rFonts w:ascii="仿宋" w:eastAsia="仿宋" w:hAnsi="仿宋" w:hint="eastAsia"/>
                <w:sz w:val="28"/>
                <w:szCs w:val="28"/>
              </w:rPr>
              <w:t>2.00</w:t>
            </w:r>
          </w:p>
        </w:tc>
        <w:tc>
          <w:tcPr>
            <w:tcW w:w="1276" w:type="dxa"/>
            <w:tcBorders>
              <w:top w:val="single" w:sz="4" w:space="0" w:color="auto"/>
              <w:left w:val="single" w:sz="4" w:space="0" w:color="auto"/>
              <w:bottom w:val="single" w:sz="4" w:space="0" w:color="auto"/>
              <w:right w:val="single" w:sz="4" w:space="0" w:color="auto"/>
            </w:tcBorders>
            <w:vAlign w:val="center"/>
          </w:tcPr>
          <w:p w:rsidR="006B70B2" w:rsidRDefault="00AF5494">
            <w:pPr>
              <w:snapToGrid w:val="0"/>
              <w:spacing w:line="500" w:lineRule="exact"/>
              <w:jc w:val="center"/>
              <w:rPr>
                <w:rFonts w:ascii="仿宋" w:eastAsia="仿宋" w:hAnsi="仿宋"/>
                <w:sz w:val="28"/>
                <w:szCs w:val="28"/>
              </w:rPr>
            </w:pPr>
            <w:r>
              <w:rPr>
                <w:rFonts w:ascii="仿宋" w:eastAsia="仿宋" w:hAnsi="仿宋" w:hint="eastAsia"/>
                <w:sz w:val="28"/>
                <w:szCs w:val="28"/>
              </w:rPr>
              <w:t>1.98</w:t>
            </w:r>
          </w:p>
        </w:tc>
        <w:tc>
          <w:tcPr>
            <w:tcW w:w="1189" w:type="dxa"/>
            <w:tcBorders>
              <w:top w:val="single" w:sz="4" w:space="0" w:color="auto"/>
              <w:left w:val="single" w:sz="4" w:space="0" w:color="auto"/>
              <w:bottom w:val="single" w:sz="4" w:space="0" w:color="auto"/>
              <w:right w:val="single" w:sz="4" w:space="0" w:color="auto"/>
            </w:tcBorders>
            <w:vAlign w:val="center"/>
          </w:tcPr>
          <w:p w:rsidR="006B70B2" w:rsidRDefault="00AF5494">
            <w:pPr>
              <w:snapToGrid w:val="0"/>
              <w:spacing w:line="500" w:lineRule="exact"/>
              <w:jc w:val="center"/>
              <w:rPr>
                <w:rFonts w:ascii="仿宋" w:eastAsia="仿宋" w:hAnsi="仿宋"/>
                <w:sz w:val="28"/>
                <w:szCs w:val="28"/>
              </w:rPr>
            </w:pPr>
            <w:r>
              <w:rPr>
                <w:rFonts w:ascii="仿宋" w:eastAsia="仿宋" w:hAnsi="仿宋" w:hint="eastAsia"/>
                <w:sz w:val="28"/>
                <w:szCs w:val="28"/>
              </w:rPr>
              <w:t>1.94</w:t>
            </w:r>
          </w:p>
        </w:tc>
        <w:tc>
          <w:tcPr>
            <w:tcW w:w="1079" w:type="dxa"/>
            <w:tcBorders>
              <w:top w:val="single" w:sz="4" w:space="0" w:color="auto"/>
              <w:left w:val="single" w:sz="4" w:space="0" w:color="auto"/>
              <w:bottom w:val="single" w:sz="4" w:space="0" w:color="auto"/>
              <w:right w:val="single" w:sz="4" w:space="0" w:color="auto"/>
            </w:tcBorders>
            <w:vAlign w:val="center"/>
          </w:tcPr>
          <w:p w:rsidR="006B70B2" w:rsidRDefault="00AF5494">
            <w:pPr>
              <w:snapToGrid w:val="0"/>
              <w:spacing w:line="500" w:lineRule="exact"/>
              <w:jc w:val="center"/>
              <w:rPr>
                <w:rFonts w:ascii="仿宋" w:eastAsia="仿宋" w:hAnsi="仿宋"/>
                <w:sz w:val="28"/>
                <w:szCs w:val="28"/>
              </w:rPr>
            </w:pPr>
            <w:r>
              <w:rPr>
                <w:rFonts w:ascii="仿宋" w:eastAsia="仿宋" w:hAnsi="仿宋" w:hint="eastAsia"/>
                <w:sz w:val="28"/>
                <w:szCs w:val="28"/>
              </w:rPr>
              <w:t>1.65</w:t>
            </w:r>
          </w:p>
        </w:tc>
        <w:tc>
          <w:tcPr>
            <w:tcW w:w="992" w:type="dxa"/>
            <w:tcBorders>
              <w:top w:val="single" w:sz="4" w:space="0" w:color="auto"/>
              <w:left w:val="single" w:sz="4" w:space="0" w:color="auto"/>
              <w:bottom w:val="single" w:sz="4" w:space="0" w:color="auto"/>
              <w:right w:val="single" w:sz="4" w:space="0" w:color="auto"/>
            </w:tcBorders>
            <w:vAlign w:val="center"/>
          </w:tcPr>
          <w:p w:rsidR="006B70B2" w:rsidRDefault="00AF5494">
            <w:pPr>
              <w:snapToGrid w:val="0"/>
              <w:spacing w:line="500" w:lineRule="exact"/>
              <w:rPr>
                <w:rFonts w:ascii="仿宋" w:eastAsia="仿宋" w:hAnsi="仿宋"/>
                <w:sz w:val="28"/>
                <w:szCs w:val="28"/>
              </w:rPr>
            </w:pPr>
            <w:r>
              <w:rPr>
                <w:rFonts w:ascii="仿宋" w:eastAsia="仿宋" w:hAnsi="仿宋" w:hint="eastAsia"/>
                <w:sz w:val="28"/>
                <w:szCs w:val="28"/>
              </w:rPr>
              <w:t>1.54</w:t>
            </w:r>
          </w:p>
        </w:tc>
        <w:tc>
          <w:tcPr>
            <w:tcW w:w="851" w:type="dxa"/>
            <w:tcBorders>
              <w:top w:val="single" w:sz="4" w:space="0" w:color="auto"/>
              <w:left w:val="single" w:sz="4" w:space="0" w:color="auto"/>
              <w:bottom w:val="single" w:sz="4" w:space="0" w:color="auto"/>
              <w:right w:val="single" w:sz="4" w:space="0" w:color="auto"/>
            </w:tcBorders>
            <w:vAlign w:val="center"/>
          </w:tcPr>
          <w:p w:rsidR="006B70B2" w:rsidRDefault="00AF5494">
            <w:pPr>
              <w:snapToGrid w:val="0"/>
              <w:spacing w:line="500" w:lineRule="exact"/>
              <w:rPr>
                <w:rFonts w:ascii="仿宋" w:eastAsia="仿宋" w:hAnsi="仿宋"/>
                <w:sz w:val="28"/>
                <w:szCs w:val="28"/>
              </w:rPr>
            </w:pPr>
            <w:r>
              <w:rPr>
                <w:rFonts w:ascii="仿宋" w:eastAsia="仿宋" w:hAnsi="仿宋" w:hint="eastAsia"/>
                <w:sz w:val="28"/>
                <w:szCs w:val="28"/>
              </w:rPr>
              <w:t>1.25</w:t>
            </w:r>
          </w:p>
        </w:tc>
      </w:tr>
    </w:tbl>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2001年11月1日前租用公房凭证中已有记载、用于居住并已计算收取租金的阁楼，高度在1.2米至1.7米（含1.7米）的部分，按照实际居住面积的1/2及上款规定的换算系数计算建筑面积；1.7米以上的部分，按照实际居住面积及上款规定的换算系数计算建筑面积。</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其他情形的阁楼，不计算建筑面积。</w:t>
      </w:r>
    </w:p>
    <w:p w:rsidR="006B70B2" w:rsidRDefault="00AF5494">
      <w:pPr>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t>五、征收居住房屋的补偿</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(一)征收居住房屋的补偿方式</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征收居住房屋的，被征收人、公有房屋承租人可以选择货币补偿，也可以选择房屋产权调换。</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被征收人、公有房屋承租人选择房屋产权调换的，房屋征收部门提供用于产权调换的房屋，并与被征收人、公有房屋承租人计算、结清被征收房屋补偿金额与用于产权调换房屋价值的差价。</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(二)征收居住房屋的补偿、补贴计算标准</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被征收居住房屋的补偿金额＝评估价格＋价格补贴。</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评估价格＝被征收房屋的房地产市场评估单价×被征收房屋的建筑面积。被征收房屋的房地产市场评估单价低于评估均价的，按评估均价计算。</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评估均价＝被征收范围内居住房屋评估总价÷居住房屋总建筑面积。评估均价标准，由房地产价格评估机构在评估后计算得出，由房屋征收部门在征收范围内公布。</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被征收房屋评估价经复核、鉴定后有变动的，评估均价不受其影响。被征收房屋和用于产权调换房屋的价值评估时点为房屋征收决定公告之日。</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价格补贴＝评估均价×补贴系数×被征收房屋的建筑面积。</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根据相关规定,经区政府批准,本地块补贴系数为0.3。</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根据相关规定，经区政府批准，本地块被征收居住房屋增加套型面积补贴。套型面积补贴=评估均价×补贴面积。</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被征收房屋属于旧式里弄房屋、简屋以及其他非成套独用居住房屋的，被征收房屋的补偿金额增加套型面积补贴。套型面积补贴=评估均价×补贴面积。套型面积补贴按照房屋征收决定作出之日合法有效的房地产权证、租用公房凭证计户补贴，每证补贴面积标准为：15平方米建筑面积。套型面积补贴=评估均价×15平方米建筑面积。</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(三)征收执行政府规定租金标准的公有出租居住房屋的补偿、补贴标准</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征收执行政府规定租金标准的公有出租居住房屋，被征收人选择货币补偿的，租赁关系终止，对被征收人的补偿金额计算公式为：评估价格×20%；对公有房屋承租人的补偿金额计算公式为：评估价格×80%+价格补贴，套型面积补贴标准按照本方案第五条第（二）项的规定执行。</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征收执行政府规定租金标准的公有出租居住房屋，被征收人选择房屋产权调换的，由被征收人负责安置公有房屋承租人，租赁关系继续保持。对被征收</w:t>
      </w:r>
      <w:r>
        <w:rPr>
          <w:rFonts w:ascii="仿宋" w:eastAsia="仿宋" w:hAnsi="仿宋" w:hint="eastAsia"/>
          <w:sz w:val="28"/>
          <w:szCs w:val="28"/>
        </w:rPr>
        <w:lastRenderedPageBreak/>
        <w:t>人的补偿金额计算公式为：评估价格+价格补贴，套型面积补贴标准按照本方案第五条第（二）项的规定执行。</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(四)征收执行政府规定租金标准的私有出租居住房屋的补偿、补贴标准</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征收执行政府规定租金标准的私有出租居住房屋，对被征收人的补偿金额计算公式为：评估价格×100%；对房屋承租人的补偿按照第(三)项有关公有房屋承租人的补偿规定执行。</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(五)居住困难户的保障补贴</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按照本市经济适用住房有关住房面积核定规定以及本条规定的折算公式计算后，人均建筑面积不足22平方米的居住困难户，增加保障补贴，但已享受过经济适用住房政策的除外。增加的保障补贴可以用于购买产权调换房屋。</w:t>
      </w:r>
    </w:p>
    <w:p w:rsidR="006B70B2" w:rsidRDefault="00AF5494" w:rsidP="00631998">
      <w:pPr>
        <w:snapToGrid w:val="0"/>
        <w:spacing w:line="500" w:lineRule="exact"/>
        <w:ind w:firstLineChars="192" w:firstLine="538"/>
        <w:rPr>
          <w:rFonts w:ascii="仿宋" w:eastAsia="仿宋" w:hAnsi="仿宋"/>
          <w:sz w:val="28"/>
          <w:szCs w:val="28"/>
        </w:rPr>
      </w:pPr>
      <w:r>
        <w:rPr>
          <w:rFonts w:ascii="仿宋" w:eastAsia="仿宋" w:hAnsi="仿宋" w:hint="eastAsia"/>
          <w:sz w:val="28"/>
          <w:szCs w:val="28"/>
        </w:rPr>
        <w:t>未按规定向房屋征收部门提出居住困难户保障补贴书面申请的被征收人户、公有房屋承租人户视作放弃居住困难户保障补贴。</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折算公式为：被征收居住房屋补偿金额÷折算单价÷居住困难户人数。</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保障补贴=折算单价×居住困难户人数×22平方米/人－被征收居住房屋补偿金额。</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本地块折算单价为：16000元/平方米。</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《普陀区东新村四期北块二号地块国有土地上房屋征收居住困难户保障补贴申请核查认定办法》由区住房保障机构另行公布。</w:t>
      </w:r>
    </w:p>
    <w:p w:rsidR="006B70B2" w:rsidRDefault="00AF5494">
      <w:pPr>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t>六、征收居住房屋签约期限内的奖励、补贴标准</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被征收人、公有房屋承租人在签约期限内签约，协议生效的，被征收人、公有房屋承租人在规定期限内搬离原址的，可以获得以下奖励及补贴。</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(一)签约奖励费</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1.被征收人、公有房屋承租人在签约期限内签约，每户按被征收房屋建筑面积每平方米奖励8000元，不足24万元的，按24万元计算。</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2.至签约期限届满，签</w:t>
      </w:r>
      <w:r>
        <w:rPr>
          <w:rFonts w:ascii="仿宋" w:eastAsia="仿宋" w:hAnsi="仿宋" w:cs="宋体" w:hint="eastAsia"/>
          <w:kern w:val="0"/>
          <w:sz w:val="28"/>
          <w:szCs w:val="28"/>
        </w:rPr>
        <w:t>约比例</w:t>
      </w:r>
      <w:r>
        <w:rPr>
          <w:rFonts w:ascii="仿宋" w:eastAsia="仿宋" w:hAnsi="仿宋" w:hint="eastAsia"/>
          <w:sz w:val="28"/>
          <w:szCs w:val="28"/>
        </w:rPr>
        <w:t>达到85%，协议生效的，对已签约的被征收人、公有房屋承租人，每户按被征收房屋建筑面积每平方米奖励5000元，不足15万元的，按15万元计算。</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3.至签约期限届满，签</w:t>
      </w:r>
      <w:r>
        <w:rPr>
          <w:rFonts w:ascii="仿宋" w:eastAsia="仿宋" w:hAnsi="仿宋" w:cs="宋体" w:hint="eastAsia"/>
          <w:kern w:val="0"/>
          <w:sz w:val="28"/>
          <w:szCs w:val="28"/>
        </w:rPr>
        <w:t>约比例</w:t>
      </w:r>
      <w:r>
        <w:rPr>
          <w:rFonts w:ascii="仿宋" w:eastAsia="仿宋" w:hAnsi="仿宋" w:hint="eastAsia"/>
          <w:sz w:val="28"/>
          <w:szCs w:val="28"/>
        </w:rPr>
        <w:t>超过85%的，签约比例86%（含）至100%的</w:t>
      </w:r>
      <w:r>
        <w:rPr>
          <w:rFonts w:ascii="仿宋" w:eastAsia="仿宋" w:hAnsi="仿宋" w:hint="eastAsia"/>
          <w:sz w:val="28"/>
          <w:szCs w:val="28"/>
        </w:rPr>
        <w:lastRenderedPageBreak/>
        <w:t>部分每满一个百分点，已在签约期限内签约的被征收人、公有房屋承租人,每户奖励2万元。未在房屋征收部门规定期限内搬离、腾空并办理完毕交房手续的，不得享受，具体搬迁期限另行通知。</w:t>
      </w:r>
    </w:p>
    <w:p w:rsidR="006B70B2" w:rsidRDefault="00AF5494">
      <w:pPr>
        <w:snapToGrid w:val="0"/>
        <w:spacing w:line="500" w:lineRule="exact"/>
        <w:ind w:firstLineChars="150" w:firstLine="420"/>
        <w:rPr>
          <w:rFonts w:ascii="仿宋" w:eastAsia="仿宋" w:hAnsi="仿宋"/>
          <w:sz w:val="28"/>
          <w:szCs w:val="28"/>
        </w:rPr>
      </w:pPr>
      <w:r>
        <w:rPr>
          <w:rFonts w:ascii="仿宋" w:eastAsia="仿宋" w:hAnsi="仿宋" w:hint="eastAsia"/>
          <w:sz w:val="28"/>
          <w:szCs w:val="28"/>
        </w:rPr>
        <w:t>（二</w:t>
      </w:r>
      <w:r>
        <w:rPr>
          <w:rFonts w:ascii="仿宋" w:eastAsia="仿宋" w:hAnsi="仿宋"/>
          <w:sz w:val="28"/>
          <w:szCs w:val="28"/>
        </w:rPr>
        <w:t>）</w:t>
      </w:r>
      <w:r>
        <w:rPr>
          <w:rFonts w:ascii="仿宋" w:eastAsia="仿宋" w:hAnsi="仿宋" w:hint="eastAsia"/>
          <w:sz w:val="28"/>
          <w:szCs w:val="28"/>
        </w:rPr>
        <w:t>搬迁奖励费</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1.被征收人、公有房屋承租人与房屋征收部门签订房屋征收补偿协议，协议生效</w:t>
      </w:r>
      <w:bookmarkStart w:id="0" w:name="_GoBack"/>
      <w:r>
        <w:rPr>
          <w:rFonts w:ascii="仿宋" w:eastAsia="仿宋" w:hAnsi="仿宋" w:hint="eastAsia"/>
          <w:sz w:val="28"/>
          <w:szCs w:val="28"/>
        </w:rPr>
        <w:t>后</w:t>
      </w:r>
      <w:bookmarkEnd w:id="0"/>
      <w:r>
        <w:rPr>
          <w:rFonts w:ascii="仿宋" w:eastAsia="仿宋" w:hAnsi="仿宋" w:hint="eastAsia"/>
          <w:sz w:val="28"/>
          <w:szCs w:val="28"/>
        </w:rPr>
        <w:t>搬迁的，以被征收居住房屋建筑面积为基准，每平方米奖励5000元，不足15万元的，按15万元计算。</w:t>
      </w:r>
    </w:p>
    <w:p w:rsidR="006B70B2" w:rsidRDefault="00AF5494">
      <w:pPr>
        <w:snapToGrid w:val="0"/>
        <w:spacing w:line="500" w:lineRule="exact"/>
        <w:ind w:firstLineChars="200" w:firstLine="560"/>
        <w:rPr>
          <w:rFonts w:ascii="仿宋" w:eastAsia="仿宋" w:hAnsi="仿宋" w:cs="宋体"/>
          <w:kern w:val="0"/>
          <w:sz w:val="28"/>
          <w:szCs w:val="28"/>
          <w:u w:val="single"/>
        </w:rPr>
      </w:pPr>
      <w:r>
        <w:rPr>
          <w:rFonts w:ascii="仿宋" w:eastAsia="仿宋" w:hAnsi="仿宋" w:hint="eastAsia"/>
          <w:sz w:val="28"/>
          <w:szCs w:val="28"/>
        </w:rPr>
        <w:t>2.协议生效后被征收人、公有房屋承租人在规定期限内搬离、腾空并办理完毕交房手续的，每户予以奖励4万元。</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(三)各类补贴</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1.无证建筑面积补贴</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本地块对于各类无证建筑面积予以300元/平方米的建筑材料残值补贴。没有无证建筑面积或虽有无证建筑面积但不要求建筑材料残值补贴的，每户予以一次性补贴5万元。</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2.装潢补贴</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按被征收居住房屋建筑面积每平方米600元计算，不足3万元的，按3万元计算；被征收人、公有房屋承租人有异议的，可以委托房地产价格评估机构通过评估确定。</w:t>
      </w:r>
    </w:p>
    <w:p w:rsidR="006B70B2" w:rsidRDefault="00AF5494">
      <w:pPr>
        <w:widowControl/>
        <w:numPr>
          <w:ilvl w:val="0"/>
          <w:numId w:val="1"/>
        </w:numPr>
        <w:tabs>
          <w:tab w:val="left" w:pos="382"/>
        </w:tabs>
        <w:snapToGrid w:val="0"/>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购房补贴</w:t>
      </w:r>
    </w:p>
    <w:p w:rsidR="006B70B2" w:rsidRDefault="00AF5494">
      <w:pPr>
        <w:snapToGrid w:val="0"/>
        <w:spacing w:line="500" w:lineRule="exact"/>
        <w:ind w:firstLineChars="200" w:firstLine="560"/>
        <w:rPr>
          <w:rFonts w:ascii="仿宋" w:eastAsia="仿宋" w:hAnsi="仿宋" w:cs="宋体"/>
          <w:kern w:val="0"/>
          <w:sz w:val="28"/>
          <w:szCs w:val="28"/>
          <w:lang w:val="zh-CN"/>
        </w:rPr>
      </w:pPr>
      <w:r>
        <w:rPr>
          <w:rFonts w:ascii="仿宋" w:eastAsia="仿宋" w:hAnsi="仿宋" w:hint="eastAsia"/>
          <w:sz w:val="28"/>
          <w:szCs w:val="28"/>
        </w:rPr>
        <w:t>（1）</w:t>
      </w:r>
      <w:r>
        <w:rPr>
          <w:rFonts w:ascii="仿宋" w:eastAsia="仿宋" w:hAnsi="仿宋" w:cs="宋体" w:hint="eastAsia"/>
          <w:kern w:val="0"/>
          <w:sz w:val="28"/>
          <w:szCs w:val="28"/>
        </w:rPr>
        <w:t>被征收人、公有房屋承租人选择货币补偿，且不选择购买本地块提供的产权调换房屋的，购房补贴为</w:t>
      </w:r>
      <w:r>
        <w:rPr>
          <w:rFonts w:ascii="仿宋" w:eastAsia="仿宋" w:hAnsi="仿宋" w:cs="宋体" w:hint="eastAsia"/>
          <w:kern w:val="0"/>
          <w:sz w:val="28"/>
          <w:szCs w:val="28"/>
          <w:lang w:val="zh-CN"/>
        </w:rPr>
        <w:t>被征收房屋补偿金额（</w:t>
      </w:r>
      <w:r>
        <w:rPr>
          <w:rFonts w:ascii="仿宋" w:eastAsia="仿宋" w:hAnsi="仿宋" w:cs="宋体" w:hint="eastAsia"/>
          <w:kern w:val="0"/>
          <w:sz w:val="28"/>
          <w:szCs w:val="28"/>
        </w:rPr>
        <w:t>补偿金额＝评估价格＋价格补贴＋套型面积补贴）</w:t>
      </w:r>
      <w:r>
        <w:rPr>
          <w:rFonts w:ascii="仿宋" w:eastAsia="仿宋" w:hAnsi="仿宋" w:cs="宋体" w:hint="eastAsia"/>
          <w:kern w:val="0"/>
          <w:sz w:val="28"/>
          <w:szCs w:val="28"/>
          <w:lang w:val="zh-CN"/>
        </w:rPr>
        <w:t>的</w:t>
      </w:r>
      <w:r>
        <w:rPr>
          <w:rFonts w:ascii="仿宋" w:eastAsia="仿宋" w:hAnsi="仿宋" w:cs="宋体" w:hint="eastAsia"/>
          <w:kern w:val="0"/>
          <w:sz w:val="28"/>
          <w:szCs w:val="28"/>
        </w:rPr>
        <w:t>50</w:t>
      </w:r>
      <w:r>
        <w:rPr>
          <w:rFonts w:ascii="仿宋" w:eastAsia="仿宋" w:hAnsi="仿宋" w:cs="宋体" w:hint="eastAsia"/>
          <w:kern w:val="0"/>
          <w:sz w:val="28"/>
          <w:szCs w:val="28"/>
          <w:lang w:val="zh-CN"/>
        </w:rPr>
        <w:t>%</w:t>
      </w:r>
      <w:r>
        <w:rPr>
          <w:rFonts w:ascii="仿宋" w:eastAsia="仿宋" w:hAnsi="仿宋" w:cs="宋体" w:hint="eastAsia"/>
          <w:kern w:val="0"/>
          <w:sz w:val="28"/>
          <w:szCs w:val="28"/>
        </w:rPr>
        <w:t>。被征收人、公有房屋承租人在签约期限内与房屋征收部门签订征收补偿协议的，每户增加20万元。</w:t>
      </w:r>
    </w:p>
    <w:p w:rsidR="006B70B2" w:rsidRDefault="00AF5494">
      <w:pPr>
        <w:snapToGrid w:val="0"/>
        <w:spacing w:line="500" w:lineRule="exact"/>
        <w:ind w:firstLineChars="200" w:firstLine="560"/>
        <w:rPr>
          <w:rFonts w:ascii="仿宋" w:eastAsia="仿宋" w:hAnsi="仿宋" w:cs="宋体"/>
          <w:kern w:val="0"/>
          <w:sz w:val="28"/>
          <w:szCs w:val="28"/>
          <w:lang w:val="zh-CN"/>
        </w:rPr>
      </w:pPr>
      <w:r>
        <w:rPr>
          <w:rFonts w:ascii="仿宋" w:eastAsia="仿宋" w:hAnsi="仿宋" w:cs="宋体" w:hint="eastAsia"/>
          <w:kern w:val="0"/>
          <w:sz w:val="28"/>
          <w:szCs w:val="28"/>
        </w:rPr>
        <w:t>（2）被征收人、公有房屋承租人购买本地块产权调换房屋的，</w:t>
      </w:r>
      <w:r>
        <w:rPr>
          <w:rFonts w:ascii="仿宋" w:eastAsia="仿宋" w:hAnsi="仿宋" w:cs="宋体" w:hint="eastAsia"/>
          <w:kern w:val="0"/>
          <w:sz w:val="28"/>
          <w:szCs w:val="28"/>
          <w:lang w:val="zh-CN"/>
        </w:rPr>
        <w:t>被征收房屋的补偿金额扣除所购产权调换房屋房款后有余款的,购房补贴为余款的</w:t>
      </w:r>
      <w:r>
        <w:rPr>
          <w:rFonts w:ascii="仿宋" w:eastAsia="仿宋" w:hAnsi="仿宋" w:cs="宋体" w:hint="eastAsia"/>
          <w:kern w:val="0"/>
          <w:sz w:val="28"/>
          <w:szCs w:val="28"/>
        </w:rPr>
        <w:t>50</w:t>
      </w:r>
      <w:r>
        <w:rPr>
          <w:rFonts w:ascii="仿宋" w:eastAsia="仿宋" w:hAnsi="仿宋" w:cs="宋体" w:hint="eastAsia"/>
          <w:kern w:val="0"/>
          <w:sz w:val="28"/>
          <w:szCs w:val="28"/>
          <w:lang w:val="zh-CN"/>
        </w:rPr>
        <w:t>%。</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(四)临时安置费</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征收补偿协议生效且按约履行的，发放临时安置费。临时安置费发放期限为自征收补偿协议生效后被征收人、公有房屋承租人搬离被征收房屋并办理交</w:t>
      </w:r>
      <w:r>
        <w:rPr>
          <w:rFonts w:ascii="仿宋" w:eastAsia="仿宋" w:hAnsi="仿宋" w:hint="eastAsia"/>
          <w:sz w:val="28"/>
          <w:szCs w:val="28"/>
        </w:rPr>
        <w:lastRenderedPageBreak/>
        <w:t>房手续之月起,至征收补偿协议约定产权调换房屋交房日期的实际自然月份，产权调换房屋实际交房日期与约定日期不一致的，以实际通知交房日期为准。</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1.临时安置费计算发放标准</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被征收人、公有房屋承租人选择产权调换房屋的，按被征收房屋建筑面积计算，每平方米建筑面积每月补贴70元。每户每月总额不足3600元的按3600元计算。</w:t>
      </w:r>
    </w:p>
    <w:p w:rsidR="006B70B2" w:rsidRDefault="00AF5494">
      <w:pPr>
        <w:snapToGrid w:val="0"/>
        <w:spacing w:line="500" w:lineRule="exact"/>
        <w:ind w:firstLineChars="200" w:firstLine="560"/>
        <w:rPr>
          <w:rFonts w:ascii="仿宋" w:eastAsia="仿宋" w:hAnsi="仿宋"/>
          <w:b/>
          <w:bCs/>
          <w:sz w:val="28"/>
          <w:szCs w:val="28"/>
        </w:rPr>
      </w:pPr>
      <w:r>
        <w:rPr>
          <w:rFonts w:ascii="仿宋" w:eastAsia="仿宋" w:hAnsi="仿宋" w:hint="eastAsia"/>
          <w:sz w:val="28"/>
          <w:szCs w:val="28"/>
        </w:rPr>
        <w:t xml:space="preserve">若被征收人、公有房屋承租人选购两套以上（含两套）产权调换房屋且产权调换房屋交房有先后的，首套产权调换房屋交付后，临时安置费发放金额按照已交付产权调换房屋建筑面积占所购产权调换房屋总建筑面积的相应比例扣除，以此类推。 </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若产权调换房屋逾期交房的，则临时安置费中对逾期的部分增加30%。</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2.照顾增发临时安置费</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考虑到征收补偿协议生效后,被征收人、公有房屋承租人需办理相关手续等因素，每户给予照顾增发三个月临时安置费，发放标准按被征收居住房屋建筑面积计算，每平方米建筑面积每月补贴70元。每户每月总额不足3600元的按3600元计算。</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(五)搬家补贴费</w:t>
      </w:r>
    </w:p>
    <w:p w:rsidR="006B70B2" w:rsidRDefault="00AF5494">
      <w:pPr>
        <w:snapToGrid w:val="0"/>
        <w:spacing w:line="500" w:lineRule="exact"/>
        <w:ind w:firstLineChars="200" w:firstLine="560"/>
        <w:rPr>
          <w:rFonts w:ascii="仿宋" w:eastAsia="仿宋" w:hAnsi="仿宋"/>
          <w:color w:val="0000FF"/>
          <w:sz w:val="28"/>
          <w:szCs w:val="28"/>
        </w:rPr>
      </w:pPr>
      <w:r>
        <w:rPr>
          <w:rFonts w:ascii="仿宋" w:eastAsia="仿宋" w:hAnsi="仿宋" w:hint="eastAsia"/>
          <w:sz w:val="28"/>
          <w:szCs w:val="28"/>
        </w:rPr>
        <w:t>按被征收居住房屋核定的建筑面积每平方米12元计算，每户低于1000元的，按1000元计算。若选择房屋产权调换的，按搬家补贴费增加一倍计算。</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(六)家用设施移装费</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1.电话移装费，每门140元；</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2.管道煤气移装费，每户200元；</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3.热水器拆装费，每台300元；</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4.空调拆装费，每台400元；</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5.有线电视移装费，每户300元；</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6.宽带移装费，每户90元；</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7.由供电部门批准安装并由被征收人、公有房屋承租人出资安装10安培以上电表移装费，每表凭供电部门相关凭证给予补贴600元。</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以上家用设施移装费每户不足2200元的，按2200元计算。</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(七)户籍迁移补贴</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被征收人、公有房屋承租人在签约期限内签约，在规定期限内搬离原址，且被征收房屋内的户籍全部迁出的，可以享受户籍迁移补贴。</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1.选择货币补偿的被征收人、公有房屋承租人，自搬离原址之日起一年内，被征收房屋内户籍全部迁出的，凭身份证明、户籍迁移等相关证明，每户予以一次性补贴2万元。超出上述期限的，将不再予以补贴。</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选择房屋产权调换的被征收人、公有房屋承租人，在选购的产权调换房屋全部交房后一年内，被征收房屋内户籍全部迁出的，凭身份证明、户籍迁移等相关证明，每户予以一次性补贴2万元。超出上述期限的，将不再予以补贴。</w:t>
      </w:r>
    </w:p>
    <w:p w:rsidR="006B70B2" w:rsidRDefault="00AF5494">
      <w:pPr>
        <w:snapToGrid w:val="0"/>
        <w:spacing w:line="500" w:lineRule="exact"/>
        <w:ind w:firstLineChars="200" w:firstLine="560"/>
        <w:rPr>
          <w:rFonts w:ascii="仿宋" w:eastAsia="仿宋" w:hAnsi="仿宋"/>
          <w:color w:val="FF0000"/>
          <w:sz w:val="28"/>
          <w:szCs w:val="28"/>
          <w:u w:val="single"/>
        </w:rPr>
      </w:pPr>
      <w:r>
        <w:rPr>
          <w:rFonts w:ascii="仿宋" w:eastAsia="仿宋" w:hAnsi="仿宋" w:hint="eastAsia"/>
          <w:sz w:val="28"/>
          <w:szCs w:val="28"/>
        </w:rPr>
        <w:t>(八)截止房屋征收决定作出之日，对持有合法有效的营业执照（必须注册在被征收房屋内）的个体经营者，予以一次性10万元补贴。</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签约期限届满后，被征收人、公有房屋承租人与房屋征收部门达成房屋征收补偿协议的，奖励费用相应减扣，具体减扣标准另行公布。</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由普陀区人民政府作出房屋征收补偿决定的被征收人、公有房屋承租人仅能享受上述奖励、补贴项目中的“无证建筑面积补贴”、“装潢补贴”、“家用设施移装费”。</w:t>
      </w:r>
    </w:p>
    <w:p w:rsidR="006B70B2" w:rsidRDefault="00AF5494">
      <w:pPr>
        <w:snapToGrid w:val="0"/>
        <w:spacing w:line="500" w:lineRule="exact"/>
        <w:ind w:firstLineChars="200" w:firstLine="562"/>
        <w:rPr>
          <w:rFonts w:ascii="仿宋" w:eastAsia="仿宋" w:hAnsi="仿宋"/>
          <w:sz w:val="28"/>
          <w:szCs w:val="28"/>
        </w:rPr>
      </w:pPr>
      <w:r>
        <w:rPr>
          <w:rFonts w:ascii="仿宋" w:eastAsia="仿宋" w:hAnsi="仿宋" w:hint="eastAsia"/>
          <w:b/>
          <w:sz w:val="28"/>
          <w:szCs w:val="28"/>
        </w:rPr>
        <w:t>七、征收居住房屋货币补偿集中签约期内的奖励、补贴标准</w:t>
      </w:r>
    </w:p>
    <w:p w:rsidR="006B70B2" w:rsidRDefault="00AF5494">
      <w:pPr>
        <w:snapToGrid w:val="0"/>
        <w:spacing w:line="500" w:lineRule="exact"/>
        <w:ind w:firstLine="560"/>
        <w:rPr>
          <w:rFonts w:ascii="仿宋" w:eastAsia="仿宋" w:hAnsi="仿宋" w:cs="宋体"/>
          <w:kern w:val="0"/>
          <w:sz w:val="28"/>
          <w:szCs w:val="28"/>
        </w:rPr>
      </w:pPr>
      <w:r>
        <w:rPr>
          <w:rFonts w:ascii="仿宋" w:eastAsia="仿宋" w:hAnsi="仿宋" w:hint="eastAsia"/>
          <w:sz w:val="28"/>
          <w:szCs w:val="28"/>
        </w:rPr>
        <w:t>在本地块签约期限开始前设置货币补偿集中签约期，</w:t>
      </w:r>
      <w:r>
        <w:rPr>
          <w:rFonts w:ascii="仿宋" w:eastAsia="仿宋" w:hAnsi="仿宋" w:cs="宋体" w:hint="eastAsia"/>
          <w:kern w:val="0"/>
          <w:sz w:val="28"/>
          <w:szCs w:val="28"/>
        </w:rPr>
        <w:t>奖励、补贴标准参照签约期限内签约的标准执行。货币补偿集中签约期具体起止时间另行公布。</w:t>
      </w:r>
    </w:p>
    <w:p w:rsidR="006B70B2" w:rsidRDefault="00AF5494">
      <w:pPr>
        <w:snapToGrid w:val="0"/>
        <w:spacing w:line="500" w:lineRule="exact"/>
        <w:rPr>
          <w:rFonts w:ascii="仿宋" w:eastAsia="仿宋" w:hAnsi="仿宋" w:cs="宋体"/>
          <w:kern w:val="0"/>
          <w:sz w:val="28"/>
          <w:szCs w:val="28"/>
        </w:rPr>
      </w:pPr>
      <w:r>
        <w:rPr>
          <w:rFonts w:ascii="仿宋" w:eastAsia="仿宋" w:hAnsi="仿宋" w:cs="宋体" w:hint="eastAsia"/>
          <w:kern w:val="0"/>
          <w:sz w:val="28"/>
          <w:szCs w:val="28"/>
        </w:rPr>
        <w:t>被征收人、公有房屋承租人选择货币补偿，且在货币补偿集中签约期内签约的，每户予以</w:t>
      </w:r>
      <w:r>
        <w:rPr>
          <w:rFonts w:ascii="仿宋" w:eastAsia="仿宋" w:hAnsi="仿宋" w:hint="eastAsia"/>
          <w:sz w:val="28"/>
          <w:szCs w:val="28"/>
        </w:rPr>
        <w:t>奖励</w:t>
      </w:r>
      <w:r>
        <w:rPr>
          <w:rFonts w:ascii="仿宋" w:eastAsia="仿宋" w:hAnsi="仿宋" w:cs="宋体" w:hint="eastAsia"/>
          <w:kern w:val="0"/>
          <w:sz w:val="28"/>
          <w:szCs w:val="28"/>
        </w:rPr>
        <w:t>20万元。未在货币补偿集中签约期内签约的被征收人、公有房屋承租人不得享受此项奖励。</w:t>
      </w:r>
    </w:p>
    <w:p w:rsidR="006B70B2" w:rsidRDefault="00AF5494">
      <w:pPr>
        <w:snapToGrid w:val="0"/>
        <w:spacing w:line="500" w:lineRule="exact"/>
        <w:ind w:firstLine="560"/>
        <w:rPr>
          <w:rFonts w:ascii="仿宋" w:eastAsia="仿宋" w:hAnsi="仿宋"/>
          <w:sz w:val="28"/>
          <w:szCs w:val="28"/>
        </w:rPr>
      </w:pPr>
      <w:r>
        <w:rPr>
          <w:rFonts w:ascii="仿宋" w:eastAsia="仿宋" w:hAnsi="仿宋" w:cs="宋体" w:hint="eastAsia"/>
          <w:kern w:val="0"/>
          <w:sz w:val="28"/>
          <w:szCs w:val="28"/>
        </w:rPr>
        <w:t>已参加选房签约顺序抽签的被征收人、公有房屋承租人，若选择货币补偿且在货币补偿集中签约期内签约的，原选房签约顺序抽签仪式上抽取的号码作废，将不再计入选房签约顺序排序。</w:t>
      </w:r>
    </w:p>
    <w:p w:rsidR="006B70B2" w:rsidRDefault="00AF5494">
      <w:pPr>
        <w:snapToGrid w:val="0"/>
        <w:spacing w:line="500" w:lineRule="exact"/>
        <w:rPr>
          <w:rFonts w:ascii="仿宋" w:eastAsia="仿宋" w:hAnsi="仿宋"/>
          <w:sz w:val="28"/>
          <w:szCs w:val="28"/>
        </w:rPr>
      </w:pPr>
      <w:r>
        <w:rPr>
          <w:rFonts w:ascii="仿宋" w:eastAsia="仿宋" w:hAnsi="仿宋" w:hint="eastAsia"/>
          <w:b/>
          <w:sz w:val="28"/>
          <w:szCs w:val="28"/>
        </w:rPr>
        <w:t>八、征收非居住房屋的</w:t>
      </w:r>
      <w:r>
        <w:rPr>
          <w:rFonts w:ascii="仿宋" w:eastAsia="仿宋" w:hAnsi="仿宋" w:hint="eastAsia"/>
          <w:b/>
          <w:bCs/>
          <w:sz w:val="28"/>
          <w:szCs w:val="28"/>
        </w:rPr>
        <w:t>补偿标准及奖励、补贴标准</w:t>
      </w:r>
    </w:p>
    <w:p w:rsidR="006B70B2" w:rsidRDefault="00AF5494">
      <w:pPr>
        <w:snapToGrid w:val="0"/>
        <w:spacing w:line="500" w:lineRule="exact"/>
        <w:rPr>
          <w:rFonts w:ascii="仿宋" w:eastAsia="仿宋" w:hAnsi="仿宋"/>
          <w:sz w:val="28"/>
          <w:szCs w:val="28"/>
        </w:rPr>
      </w:pPr>
      <w:r>
        <w:rPr>
          <w:rFonts w:ascii="仿宋" w:eastAsia="仿宋" w:hAnsi="仿宋" w:hint="eastAsia"/>
          <w:sz w:val="28"/>
          <w:szCs w:val="28"/>
        </w:rPr>
        <w:t xml:space="preserve">    (一)非居住房屋的认定</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1.原始设计为非居住房屋，延续至房屋征收决定作出时仍作为非居住房屋使用的，应当认定为非居住房屋；</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2.公有房屋承租人与公有房屋出租人签订了公有非居住房屋租赁合同，建立了公有非居住房屋租赁关系的，可以认定为非居住房屋；</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3.房屋权利人为单位的，可以认定为非居住房屋，但其房屋性质明确记载为居住或实际用作职工或职工家庭居住使用的除外；</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4.原始设计为居住房屋，经市或区（县）房屋行政管理部门批准居住房屋改为非居住用途的，除有特别规定以外，可以认定为非居住房屋。在2001年11月1日前，已经以居住房屋作为经营场所并领取营业执照的，且至征收决定作出之日营业执照仍在有效期内的，可以认定为非居住房屋；在2001年11月1日以后，以居住房屋作为经营场所并领取营业执照的，未经市或区（县）房屋行政管理部门批准居住房屋改为非居住用途的，不认定为非居住房屋。</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(二)征收非居住房屋的补偿标准</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本地块征收非居住房屋，被征收人、公有房屋承租人为个人的可选择货币补偿也可选择房屋产权调换，产权调换房屋为本地块提供的居住产权调换房屋。</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本地块征收非居住房屋，被征收人、公有房屋承租人为单位的采用货币补偿。</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1.征收非居住房屋，对被征收人的补偿金额为市场评估价格。</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2.按规定向被征收人补偿设备搬迁和安装费用，无法恢复使用的设备按重置价结合成新结算。</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3.因征收非居住房屋造成被征收人、公有房屋承租人停产停业损失的补偿标准，按照被征收房屋市场评估价的10%确定。</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被征收人、公有房屋承租人认为其停产停业损失超过被征收房屋的市场评估价10%的，应当向房屋征收部门提供房屋被征收前三年的平均效益、停产停业期限等相关证明材料。房屋征收部门应当委托房地产价格评估机构对停产停业损失进行评估，并按照评估结果予以补偿。被征收人、公有房屋承租人对评估结果有异议的，可以按照《实施细则》第二十五条第三款规定申请复核、鉴定。</w:t>
      </w:r>
    </w:p>
    <w:p w:rsidR="006B70B2" w:rsidRDefault="00AF5494">
      <w:pPr>
        <w:numPr>
          <w:ilvl w:val="0"/>
          <w:numId w:val="2"/>
        </w:num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征收执行政府规定租金标准的公有出租非居住房屋的补偿标准</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征收执行政府规定租金标准的公有出租非居住房屋，本地块采用货币补偿，租赁关系终止。对被征收人的补偿金额计算公式为：评估价格×20%，对公有房屋承租人的补偿金额计算公式为：评估价格×80%。</w:t>
      </w:r>
    </w:p>
    <w:p w:rsidR="006B70B2" w:rsidRDefault="00AF5494">
      <w:pPr>
        <w:numPr>
          <w:ilvl w:val="0"/>
          <w:numId w:val="3"/>
        </w:numPr>
        <w:snapToGrid w:val="0"/>
        <w:spacing w:line="5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征收非居住房屋的奖励、补贴标准</w:t>
      </w:r>
    </w:p>
    <w:p w:rsidR="006B70B2" w:rsidRDefault="00AF5494">
      <w:pPr>
        <w:snapToGrid w:val="0"/>
        <w:spacing w:line="500" w:lineRule="exact"/>
        <w:rPr>
          <w:rFonts w:ascii="仿宋" w:eastAsia="仿宋" w:hAnsi="仿宋"/>
          <w:sz w:val="28"/>
          <w:szCs w:val="28"/>
        </w:rPr>
      </w:pPr>
      <w:r>
        <w:rPr>
          <w:rFonts w:ascii="仿宋" w:eastAsia="仿宋" w:hAnsi="仿宋" w:hint="eastAsia"/>
          <w:sz w:val="28"/>
          <w:szCs w:val="28"/>
        </w:rPr>
        <w:t xml:space="preserve">    1.本地块</w:t>
      </w:r>
      <w:r>
        <w:rPr>
          <w:rFonts w:ascii="仿宋" w:eastAsia="仿宋" w:hAnsi="仿宋" w:cs="仿宋" w:hint="eastAsia"/>
          <w:kern w:val="0"/>
          <w:sz w:val="28"/>
          <w:szCs w:val="28"/>
        </w:rPr>
        <w:t>征收非居住房屋，被征收人、公有房屋承租人按期搬迁的，给予搬迁奖励费。</w:t>
      </w:r>
      <w:r>
        <w:rPr>
          <w:rFonts w:ascii="仿宋" w:eastAsia="仿宋" w:hAnsi="仿宋" w:hint="eastAsia"/>
          <w:sz w:val="28"/>
          <w:szCs w:val="28"/>
        </w:rPr>
        <w:t>被征收人、公有房屋承租人为个人的，搬迁奖励费为每户5万元。</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2.截止房屋征收决定作出之日，对持有合法有效的营业执照（必须注册在被征收房屋内）的个体经营者，予以一次性10万元补贴。</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3.被征收人、公有房屋承租人为单位的，奖励、补贴标准另行制定。</w:t>
      </w:r>
    </w:p>
    <w:p w:rsidR="006B70B2" w:rsidRDefault="00AF5494">
      <w:pPr>
        <w:snapToGrid w:val="0"/>
        <w:spacing w:line="500" w:lineRule="exact"/>
        <w:ind w:firstLineChars="200" w:firstLine="562"/>
        <w:rPr>
          <w:rFonts w:ascii="仿宋" w:eastAsia="仿宋" w:hAnsi="仿宋"/>
          <w:b/>
          <w:bCs/>
          <w:sz w:val="28"/>
          <w:szCs w:val="28"/>
        </w:rPr>
      </w:pPr>
      <w:r>
        <w:rPr>
          <w:rFonts w:ascii="仿宋" w:eastAsia="仿宋" w:hAnsi="仿宋" w:hint="eastAsia"/>
          <w:b/>
          <w:bCs/>
          <w:sz w:val="28"/>
          <w:szCs w:val="28"/>
        </w:rPr>
        <w:t>九、征收居住和非居住兼用房屋的补偿标准及奖励、补贴标准</w:t>
      </w:r>
    </w:p>
    <w:p w:rsidR="006B70B2" w:rsidRDefault="00AF5494">
      <w:pPr>
        <w:snapToGrid w:val="0"/>
        <w:spacing w:line="500" w:lineRule="exact"/>
        <w:rPr>
          <w:rFonts w:ascii="仿宋" w:eastAsia="仿宋" w:hAnsi="仿宋"/>
          <w:b/>
          <w:bCs/>
          <w:sz w:val="28"/>
          <w:szCs w:val="28"/>
        </w:rPr>
      </w:pPr>
      <w:r>
        <w:rPr>
          <w:rFonts w:ascii="仿宋" w:eastAsia="仿宋" w:hAnsi="仿宋" w:hint="eastAsia"/>
          <w:sz w:val="28"/>
          <w:szCs w:val="28"/>
        </w:rPr>
        <w:t xml:space="preserve">   （一）征收居住和非居住兼用房屋的补偿标准</w:t>
      </w:r>
    </w:p>
    <w:p w:rsidR="006B70B2" w:rsidRDefault="00AF5494">
      <w:pPr>
        <w:snapToGrid w:val="0"/>
        <w:spacing w:line="500" w:lineRule="exact"/>
        <w:rPr>
          <w:rFonts w:ascii="仿宋" w:eastAsia="仿宋" w:hAnsi="仿宋"/>
          <w:sz w:val="28"/>
          <w:szCs w:val="28"/>
        </w:rPr>
      </w:pPr>
      <w:r>
        <w:rPr>
          <w:rFonts w:ascii="仿宋" w:eastAsia="仿宋" w:hAnsi="仿宋" w:hint="eastAsia"/>
          <w:sz w:val="28"/>
          <w:szCs w:val="28"/>
        </w:rPr>
        <w:t>征收居住和非居住兼用的房屋，被征收人或公有房屋承租人选择货币补偿的，应当按照居住用建筑面积和非居住用建筑面积分别计算货币补偿款，合并后的货币补偿款为该房屋的补偿金额。</w:t>
      </w:r>
    </w:p>
    <w:p w:rsidR="006B70B2" w:rsidRDefault="00AF549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被征收人或者公有房屋承租人选择房屋产权调换的，应当按照上述合并后的货币补偿款，用居住房屋进行调换并结算差价；对提出居住困难户保障补贴申请的被征收人、公有房屋承租人，应当根据《实施细则》第三十一条的规定，按照上述合并后的货币补偿款进行折算。</w:t>
      </w:r>
    </w:p>
    <w:p w:rsidR="006B70B2" w:rsidRDefault="00AF5494">
      <w:pPr>
        <w:snapToGrid w:val="0"/>
        <w:spacing w:line="500" w:lineRule="exact"/>
        <w:rPr>
          <w:rFonts w:ascii="仿宋" w:eastAsia="仿宋" w:hAnsi="仿宋"/>
          <w:sz w:val="28"/>
          <w:szCs w:val="28"/>
        </w:rPr>
      </w:pPr>
      <w:r>
        <w:rPr>
          <w:rFonts w:ascii="仿宋" w:eastAsia="仿宋" w:hAnsi="仿宋" w:hint="eastAsia"/>
          <w:sz w:val="28"/>
          <w:szCs w:val="28"/>
        </w:rPr>
        <w:t xml:space="preserve">   （二）征收居住和非居住兼用房屋的奖励、补贴标准</w:t>
      </w:r>
    </w:p>
    <w:p w:rsidR="006B70B2" w:rsidRDefault="00AF5494">
      <w:pPr>
        <w:snapToGrid w:val="0"/>
        <w:spacing w:line="500" w:lineRule="exact"/>
        <w:rPr>
          <w:rFonts w:ascii="仿宋" w:eastAsia="仿宋" w:hAnsi="仿宋"/>
          <w:sz w:val="28"/>
          <w:szCs w:val="28"/>
        </w:rPr>
      </w:pPr>
      <w:r>
        <w:rPr>
          <w:rFonts w:ascii="仿宋" w:eastAsia="仿宋" w:hAnsi="仿宋" w:hint="eastAsia"/>
          <w:sz w:val="28"/>
          <w:szCs w:val="28"/>
        </w:rPr>
        <w:t xml:space="preserve">    征收居住和非居住兼用房屋的奖励、补贴以居住用建筑面积和非居住用建筑面积分别按照本方案第六条和第八条计算,其中第六条第（二）项搬迁奖励费中第2目每户不得超过5万元，搬迁奖励费不得重复享受。</w:t>
      </w:r>
    </w:p>
    <w:p w:rsidR="006B70B2" w:rsidRDefault="00AF5494">
      <w:pPr>
        <w:autoSpaceDE w:val="0"/>
        <w:autoSpaceDN w:val="0"/>
        <w:adjustRightInd w:val="0"/>
        <w:snapToGrid w:val="0"/>
        <w:spacing w:line="500" w:lineRule="exact"/>
        <w:ind w:firstLineChars="222" w:firstLine="624"/>
        <w:jc w:val="left"/>
        <w:rPr>
          <w:rFonts w:ascii="仿宋" w:eastAsia="仿宋" w:hAnsi="仿宋"/>
          <w:b/>
          <w:sz w:val="28"/>
          <w:szCs w:val="28"/>
        </w:rPr>
      </w:pPr>
      <w:r>
        <w:rPr>
          <w:rFonts w:ascii="仿宋" w:eastAsia="仿宋" w:hAnsi="仿宋" w:hint="eastAsia"/>
          <w:b/>
          <w:sz w:val="28"/>
          <w:szCs w:val="28"/>
        </w:rPr>
        <w:t xml:space="preserve">十、产权调换房屋的基本情况和选购方法 </w:t>
      </w:r>
    </w:p>
    <w:p w:rsidR="006B70B2" w:rsidRDefault="00AF5494">
      <w:pPr>
        <w:snapToGrid w:val="0"/>
        <w:spacing w:line="500" w:lineRule="exact"/>
        <w:rPr>
          <w:rFonts w:ascii="仿宋" w:eastAsia="仿宋" w:hAnsi="仿宋"/>
          <w:sz w:val="28"/>
          <w:szCs w:val="28"/>
        </w:rPr>
      </w:pPr>
      <w:r>
        <w:rPr>
          <w:rFonts w:ascii="仿宋" w:eastAsia="仿宋" w:hAnsi="仿宋" w:hint="eastAsia"/>
          <w:sz w:val="28"/>
          <w:szCs w:val="28"/>
          <w:lang w:val="zh-CN"/>
        </w:rPr>
        <w:t>本地块就近产权调换房屋房源:</w:t>
      </w:r>
      <w:r>
        <w:rPr>
          <w:rFonts w:ascii="仿宋" w:eastAsia="仿宋" w:hAnsi="仿宋" w:hint="eastAsia"/>
          <w:sz w:val="28"/>
          <w:szCs w:val="28"/>
        </w:rPr>
        <w:t>普陀区桃浦地块、嘉定区惠民家园地块、嘉定区城北地块。</w:t>
      </w:r>
    </w:p>
    <w:p w:rsidR="006B70B2" w:rsidRDefault="00AF5494">
      <w:pPr>
        <w:snapToGrid w:val="0"/>
        <w:spacing w:line="500" w:lineRule="exact"/>
        <w:rPr>
          <w:rFonts w:ascii="仿宋" w:eastAsia="仿宋" w:hAnsi="仿宋"/>
          <w:sz w:val="28"/>
          <w:szCs w:val="28"/>
          <w:lang w:val="zh-CN"/>
        </w:rPr>
      </w:pPr>
      <w:r>
        <w:rPr>
          <w:rFonts w:ascii="仿宋" w:eastAsia="仿宋" w:hAnsi="仿宋" w:hint="eastAsia"/>
          <w:sz w:val="28"/>
          <w:szCs w:val="28"/>
        </w:rPr>
        <w:t xml:space="preserve">    本地块异地产权调换房屋房源：闵行区旗忠地块、青浦区新城一站地块。</w:t>
      </w:r>
    </w:p>
    <w:p w:rsidR="006B70B2" w:rsidRDefault="00AF5494">
      <w:pPr>
        <w:snapToGrid w:val="0"/>
        <w:spacing w:line="500" w:lineRule="exact"/>
        <w:ind w:firstLineChars="200" w:firstLine="560"/>
        <w:rPr>
          <w:rFonts w:ascii="仿宋" w:eastAsia="仿宋" w:hAnsi="仿宋" w:cs="宋体"/>
          <w:kern w:val="0"/>
          <w:sz w:val="28"/>
          <w:szCs w:val="28"/>
        </w:rPr>
      </w:pPr>
      <w:r>
        <w:rPr>
          <w:rFonts w:ascii="仿宋" w:eastAsia="仿宋" w:hAnsi="仿宋" w:cs="宋体" w:hint="eastAsia"/>
          <w:bCs/>
          <w:iCs/>
          <w:kern w:val="0"/>
          <w:sz w:val="28"/>
          <w:szCs w:val="28"/>
        </w:rPr>
        <w:t>《</w:t>
      </w:r>
      <w:r>
        <w:rPr>
          <w:rFonts w:ascii="仿宋" w:eastAsia="仿宋" w:hAnsi="仿宋" w:cs="宋体" w:hint="eastAsia"/>
          <w:bCs/>
          <w:iCs/>
          <w:kern w:val="0"/>
          <w:sz w:val="28"/>
          <w:szCs w:val="28"/>
          <w:lang w:val="zh-CN"/>
        </w:rPr>
        <w:t>普陀区东新村四期北块二号地块旧城区改建国有土地上房屋征收产权调</w:t>
      </w:r>
      <w:r>
        <w:rPr>
          <w:rFonts w:ascii="仿宋" w:eastAsia="仿宋" w:hAnsi="仿宋" w:cs="宋体" w:hint="eastAsia"/>
          <w:bCs/>
          <w:iCs/>
          <w:kern w:val="0"/>
          <w:sz w:val="28"/>
          <w:szCs w:val="28"/>
          <w:lang w:val="zh-CN"/>
        </w:rPr>
        <w:lastRenderedPageBreak/>
        <w:t>换房屋选购办法</w:t>
      </w:r>
      <w:r>
        <w:rPr>
          <w:rFonts w:ascii="仿宋" w:eastAsia="仿宋" w:hAnsi="仿宋" w:cs="宋体" w:hint="eastAsia"/>
          <w:bCs/>
          <w:iCs/>
          <w:kern w:val="0"/>
          <w:sz w:val="28"/>
          <w:szCs w:val="28"/>
        </w:rPr>
        <w:t>》及产权调换房屋的详细情况由房屋征收部门另行公布。</w:t>
      </w:r>
    </w:p>
    <w:p w:rsidR="006B70B2" w:rsidRDefault="00AF5494">
      <w:pPr>
        <w:snapToGrid w:val="0"/>
        <w:spacing w:line="50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签约期限届满后，房屋征收部门将对未被使用的部分产权调换房屋进行调减，视情况安排房屋征收补偿决定所需产权调换房屋，并将调整后的房源进行公布。</w:t>
      </w:r>
    </w:p>
    <w:p w:rsidR="006B70B2" w:rsidRDefault="00AF5494">
      <w:pPr>
        <w:widowControl/>
        <w:snapToGrid w:val="0"/>
        <w:spacing w:line="50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十一、房地产价格评估机构选定办法</w:t>
      </w:r>
    </w:p>
    <w:p w:rsidR="006B70B2" w:rsidRDefault="00AF5494">
      <w:pPr>
        <w:widowControl/>
        <w:snapToGrid w:val="0"/>
        <w:spacing w:line="500" w:lineRule="exact"/>
        <w:ind w:firstLineChars="200" w:firstLine="560"/>
        <w:rPr>
          <w:rFonts w:ascii="仿宋" w:eastAsia="仿宋" w:hAnsi="仿宋" w:cs="宋体"/>
          <w:kern w:val="0"/>
          <w:sz w:val="28"/>
          <w:szCs w:val="28"/>
        </w:rPr>
      </w:pPr>
      <w:r>
        <w:rPr>
          <w:rFonts w:ascii="仿宋" w:eastAsia="仿宋" w:hAnsi="仿宋" w:hint="eastAsia"/>
          <w:sz w:val="28"/>
          <w:szCs w:val="28"/>
        </w:rPr>
        <w:t>按“关于印发《上海市国有土地上房屋征收评估管理规定》的通知（沪房管规范市[2013]7号）”相关规定执行。</w:t>
      </w:r>
    </w:p>
    <w:p w:rsidR="006B70B2" w:rsidRDefault="00AF5494">
      <w:pPr>
        <w:widowControl/>
        <w:snapToGrid w:val="0"/>
        <w:spacing w:line="50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十二、房屋征收补偿的签约期限</w:t>
      </w:r>
    </w:p>
    <w:p w:rsidR="006B70B2" w:rsidRDefault="00AF5494">
      <w:pPr>
        <w:widowControl/>
        <w:snapToGrid w:val="0"/>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本地块房屋征收补偿协议的签约期限为3个月，具体签约开始时间另行公布。</w:t>
      </w:r>
    </w:p>
    <w:p w:rsidR="006B70B2" w:rsidRDefault="00AF5494">
      <w:pPr>
        <w:widowControl/>
        <w:snapToGrid w:val="0"/>
        <w:spacing w:line="50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十三、相关费用的发放时间</w:t>
      </w:r>
    </w:p>
    <w:p w:rsidR="006B70B2" w:rsidRDefault="00AF5494">
      <w:pPr>
        <w:widowControl/>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至签约期限届满，本地块签约比例达到85%，征收补偿协议生效的，本方案中涉及的被征收房屋补偿款（被征收人、公有房屋承租人选择房屋产权调换，购买房屋征收部门提供的产权调换房屋的，则被征收房屋补偿款用于购买产权调换房屋，并结清差价）、相关奖励、补贴费用，由房屋征收部门根据协议中的约定向已签订征收补偿协议并已搬离被征收房屋且办理交房手续的被征收人、公有房屋承租人发放。</w:t>
      </w:r>
    </w:p>
    <w:p w:rsidR="006B70B2" w:rsidRDefault="00AF5494">
      <w:pPr>
        <w:widowControl/>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至签约期限届满，</w:t>
      </w:r>
      <w:r>
        <w:rPr>
          <w:rFonts w:ascii="仿宋" w:eastAsia="仿宋" w:hAnsi="仿宋" w:cs="宋体" w:hint="eastAsia"/>
          <w:kern w:val="0"/>
          <w:sz w:val="28"/>
          <w:szCs w:val="28"/>
        </w:rPr>
        <w:t>签约比例未达到85%，</w:t>
      </w:r>
      <w:r>
        <w:rPr>
          <w:rFonts w:ascii="仿宋" w:eastAsia="仿宋" w:hAnsi="仿宋" w:hint="eastAsia"/>
          <w:sz w:val="28"/>
          <w:szCs w:val="28"/>
        </w:rPr>
        <w:t>征收决定终止执行的，房屋征收部门向已签约的被征收人、公有房屋承租人每户发放2000元补贴。</w:t>
      </w:r>
    </w:p>
    <w:p w:rsidR="006B70B2" w:rsidRDefault="00AF5494">
      <w:pPr>
        <w:widowControl/>
        <w:snapToGrid w:val="0"/>
        <w:spacing w:line="50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十四、搬迁期限和搬迁过渡方式、过渡期限</w:t>
      </w:r>
    </w:p>
    <w:p w:rsidR="006B70B2" w:rsidRDefault="00AF5494">
      <w:pPr>
        <w:widowControl/>
        <w:snapToGrid w:val="0"/>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被征收人、公有房屋承租人应当在规定的搬迁期限内完成搬迁。搬迁过渡方式：征收居住房屋，被征收人、公有房屋承租人选择房屋产权调换的，产权调换房屋交付前，由房屋征收部门支付临时安置费自行过渡，具体支付方式如前文所述。</w:t>
      </w:r>
    </w:p>
    <w:p w:rsidR="006B70B2" w:rsidRDefault="00AF5494">
      <w:pPr>
        <w:widowControl/>
        <w:snapToGrid w:val="0"/>
        <w:spacing w:line="50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十五、受委托的房屋征收事务所名称</w:t>
      </w:r>
    </w:p>
    <w:p w:rsidR="006B70B2" w:rsidRDefault="00AF5494">
      <w:pPr>
        <w:widowControl/>
        <w:snapToGrid w:val="0"/>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上海市普陀第一房屋征收服务事务所有限公司。</w:t>
      </w:r>
    </w:p>
    <w:p w:rsidR="006B70B2" w:rsidRDefault="00AF5494">
      <w:pPr>
        <w:widowControl/>
        <w:snapToGrid w:val="0"/>
        <w:spacing w:line="500" w:lineRule="exact"/>
        <w:ind w:firstLineChars="200" w:firstLine="562"/>
        <w:rPr>
          <w:rFonts w:ascii="仿宋" w:eastAsia="仿宋" w:hAnsi="仿宋" w:cs="宋体"/>
          <w:kern w:val="0"/>
          <w:sz w:val="28"/>
          <w:szCs w:val="28"/>
        </w:rPr>
      </w:pPr>
      <w:r>
        <w:rPr>
          <w:rFonts w:ascii="仿宋" w:eastAsia="仿宋" w:hAnsi="仿宋" w:cs="宋体" w:hint="eastAsia"/>
          <w:b/>
          <w:kern w:val="0"/>
          <w:sz w:val="28"/>
          <w:szCs w:val="28"/>
        </w:rPr>
        <w:t>十六、其他事项</w:t>
      </w:r>
    </w:p>
    <w:p w:rsidR="006B70B2" w:rsidRDefault="00AF5494">
      <w:pPr>
        <w:widowControl/>
        <w:snapToGrid w:val="0"/>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lastRenderedPageBreak/>
        <w:t>(一)本房屋征收补偿方案中的货币为人民币。征收居住房屋的，被征收人取得货币补偿款、产权调换房屋后，应当负责安置房屋使用人；公有房屋承租人所得的货币补偿款、产权调换房屋归公有房屋承租人及其共同居住人共有。</w:t>
      </w:r>
    </w:p>
    <w:p w:rsidR="006B70B2" w:rsidRDefault="00AF5494">
      <w:pPr>
        <w:widowControl/>
        <w:snapToGrid w:val="0"/>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二)被征收人、公有房屋承租人应当向房屋征收部门如实提供文书送达地址。因被征收人、公有房屋承租人提供和确认的送达地址不准确，拒不提供送达地址，送达地址变更未能及时告知房屋征收部门，被征收人、公有房屋承租人或其指定的代理人拒绝签收等情况，造成的相关后果由被征收人、公有房屋承租人自行承担。</w:t>
      </w:r>
    </w:p>
    <w:p w:rsidR="006B70B2" w:rsidRDefault="00AF5494">
      <w:pPr>
        <w:snapToGrid w:val="0"/>
        <w:spacing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（三）本方案未尽事项，另行制定公布。具体规定适用问题，由房屋征收部门负责解释。</w:t>
      </w:r>
    </w:p>
    <w:p w:rsidR="006B70B2" w:rsidRDefault="00AF5494">
      <w:pPr>
        <w:snapToGrid w:val="0"/>
        <w:spacing w:line="500" w:lineRule="exact"/>
        <w:jc w:val="left"/>
        <w:rPr>
          <w:rFonts w:ascii="仿宋" w:eastAsia="仿宋" w:hAnsi="仿宋" w:cs="宋体"/>
          <w:kern w:val="0"/>
          <w:sz w:val="28"/>
          <w:szCs w:val="28"/>
        </w:rPr>
      </w:pPr>
      <w:r>
        <w:rPr>
          <w:rFonts w:ascii="仿宋" w:eastAsia="仿宋" w:hAnsi="仿宋" w:cs="宋体" w:hint="eastAsia"/>
          <w:kern w:val="0"/>
          <w:sz w:val="28"/>
          <w:szCs w:val="28"/>
        </w:rPr>
        <w:t>上海市普陀区住房保障和房屋管理局</w:t>
      </w:r>
    </w:p>
    <w:p w:rsidR="006B70B2" w:rsidRDefault="00AF5494">
      <w:pPr>
        <w:snapToGrid w:val="0"/>
        <w:spacing w:line="500" w:lineRule="exact"/>
        <w:jc w:val="left"/>
      </w:pPr>
      <w:r>
        <w:rPr>
          <w:rFonts w:ascii="仿宋" w:eastAsia="仿宋" w:hAnsi="仿宋" w:cs="宋体" w:hint="eastAsia"/>
          <w:kern w:val="0"/>
          <w:sz w:val="28"/>
          <w:szCs w:val="28"/>
        </w:rPr>
        <w:t xml:space="preserve">                                         二〇一七年八月三十日</w:t>
      </w:r>
    </w:p>
    <w:sectPr w:rsidR="006B70B2" w:rsidSect="006B70B2">
      <w:headerReference w:type="default" r:id="rId8"/>
      <w:footerReference w:type="even" r:id="rId9"/>
      <w:footerReference w:type="default" r:id="rId10"/>
      <w:pgSz w:w="11906" w:h="16838"/>
      <w:pgMar w:top="1247" w:right="1134" w:bottom="1134" w:left="124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CB0" w:rsidRDefault="00FA5CB0" w:rsidP="006B70B2">
      <w:r>
        <w:separator/>
      </w:r>
    </w:p>
  </w:endnote>
  <w:endnote w:type="continuationSeparator" w:id="1">
    <w:p w:rsidR="00FA5CB0" w:rsidRDefault="00FA5CB0" w:rsidP="006B7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0B2" w:rsidRDefault="00807639">
    <w:pPr>
      <w:pStyle w:val="a3"/>
      <w:framePr w:wrap="around" w:vAnchor="text" w:hAnchor="margin" w:xAlign="center" w:y="2"/>
      <w:rPr>
        <w:rStyle w:val="a5"/>
      </w:rPr>
    </w:pPr>
    <w:r>
      <w:fldChar w:fldCharType="begin"/>
    </w:r>
    <w:r w:rsidR="00AF5494">
      <w:rPr>
        <w:rStyle w:val="a5"/>
      </w:rPr>
      <w:instrText xml:space="preserve">PAGE  </w:instrText>
    </w:r>
    <w:r>
      <w:fldChar w:fldCharType="separate"/>
    </w:r>
    <w:r w:rsidR="00AF5494">
      <w:rPr>
        <w:rStyle w:val="a5"/>
      </w:rPr>
      <w:t>3</w:t>
    </w:r>
    <w:r>
      <w:fldChar w:fldCharType="end"/>
    </w:r>
  </w:p>
  <w:p w:rsidR="006B70B2" w:rsidRDefault="006B70B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0B2" w:rsidRDefault="00807639">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6B70B2" w:rsidRDefault="00807639">
                <w:pPr>
                  <w:pStyle w:val="a3"/>
                  <w:rPr>
                    <w:rStyle w:val="a5"/>
                  </w:rPr>
                </w:pPr>
                <w:r>
                  <w:fldChar w:fldCharType="begin"/>
                </w:r>
                <w:r w:rsidR="00AF5494">
                  <w:rPr>
                    <w:rStyle w:val="a5"/>
                  </w:rPr>
                  <w:instrText xml:space="preserve">PAGE  </w:instrText>
                </w:r>
                <w:r>
                  <w:fldChar w:fldCharType="separate"/>
                </w:r>
                <w:r w:rsidR="00E64110">
                  <w:rPr>
                    <w:rStyle w:val="a5"/>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CB0" w:rsidRDefault="00FA5CB0" w:rsidP="006B70B2">
      <w:r>
        <w:separator/>
      </w:r>
    </w:p>
  </w:footnote>
  <w:footnote w:type="continuationSeparator" w:id="1">
    <w:p w:rsidR="00FA5CB0" w:rsidRDefault="00FA5CB0" w:rsidP="006B7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0B2" w:rsidRDefault="006B70B2">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4"/>
      <w:numFmt w:val="decimal"/>
      <w:suff w:val="nothing"/>
      <w:lvlText w:val="%1."/>
      <w:lvlJc w:val="left"/>
    </w:lvl>
  </w:abstractNum>
  <w:abstractNum w:abstractNumId="1">
    <w:nsid w:val="00000007"/>
    <w:multiLevelType w:val="singleLevel"/>
    <w:tmpl w:val="00000007"/>
    <w:lvl w:ilvl="0">
      <w:start w:val="3"/>
      <w:numFmt w:val="chineseCounting"/>
      <w:suff w:val="nothing"/>
      <w:lvlText w:val="（%1）"/>
      <w:lvlJc w:val="left"/>
    </w:lvl>
  </w:abstractNum>
  <w:abstractNum w:abstractNumId="2">
    <w:nsid w:val="5780A48B"/>
    <w:multiLevelType w:val="singleLevel"/>
    <w:tmpl w:val="5780A48B"/>
    <w:lvl w:ilvl="0">
      <w:start w:val="3"/>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19139D6"/>
    <w:rsid w:val="00631998"/>
    <w:rsid w:val="006B70B2"/>
    <w:rsid w:val="00807639"/>
    <w:rsid w:val="00AF5494"/>
    <w:rsid w:val="00E64110"/>
    <w:rsid w:val="00F3394E"/>
    <w:rsid w:val="00FA5CB0"/>
    <w:rsid w:val="02AC4B41"/>
    <w:rsid w:val="02CD07D5"/>
    <w:rsid w:val="03CC6F6A"/>
    <w:rsid w:val="03CC75E9"/>
    <w:rsid w:val="04343999"/>
    <w:rsid w:val="0665568C"/>
    <w:rsid w:val="068C0714"/>
    <w:rsid w:val="06B52067"/>
    <w:rsid w:val="0759494B"/>
    <w:rsid w:val="077E39DD"/>
    <w:rsid w:val="07AE0ECC"/>
    <w:rsid w:val="08A701BA"/>
    <w:rsid w:val="09CB1015"/>
    <w:rsid w:val="09D11B56"/>
    <w:rsid w:val="0A837403"/>
    <w:rsid w:val="0A837EF1"/>
    <w:rsid w:val="0B500291"/>
    <w:rsid w:val="0D284F06"/>
    <w:rsid w:val="0D3B51EC"/>
    <w:rsid w:val="0DA84153"/>
    <w:rsid w:val="0ECE7B66"/>
    <w:rsid w:val="0F553CB9"/>
    <w:rsid w:val="101A2A0B"/>
    <w:rsid w:val="104A7467"/>
    <w:rsid w:val="11057F7B"/>
    <w:rsid w:val="116D4230"/>
    <w:rsid w:val="12217302"/>
    <w:rsid w:val="136049F5"/>
    <w:rsid w:val="13730456"/>
    <w:rsid w:val="14DD58B3"/>
    <w:rsid w:val="14EE67A3"/>
    <w:rsid w:val="15B96112"/>
    <w:rsid w:val="16F13C6E"/>
    <w:rsid w:val="172045AE"/>
    <w:rsid w:val="17706BF4"/>
    <w:rsid w:val="18B3143F"/>
    <w:rsid w:val="18F44CA2"/>
    <w:rsid w:val="1A3C5F85"/>
    <w:rsid w:val="1AD22DFF"/>
    <w:rsid w:val="1B577F26"/>
    <w:rsid w:val="1D9333E7"/>
    <w:rsid w:val="1FC066F2"/>
    <w:rsid w:val="2025473C"/>
    <w:rsid w:val="20C70403"/>
    <w:rsid w:val="219B292F"/>
    <w:rsid w:val="240F7527"/>
    <w:rsid w:val="24C824A2"/>
    <w:rsid w:val="254344FB"/>
    <w:rsid w:val="25BB2433"/>
    <w:rsid w:val="25D814F0"/>
    <w:rsid w:val="280400DE"/>
    <w:rsid w:val="281070F1"/>
    <w:rsid w:val="281D18B1"/>
    <w:rsid w:val="294A5A2C"/>
    <w:rsid w:val="29E30C9B"/>
    <w:rsid w:val="2B7F578B"/>
    <w:rsid w:val="2C4A65AC"/>
    <w:rsid w:val="2C943DAE"/>
    <w:rsid w:val="2D8E2AB5"/>
    <w:rsid w:val="2DA27105"/>
    <w:rsid w:val="2F00233A"/>
    <w:rsid w:val="300E6096"/>
    <w:rsid w:val="301F2DAA"/>
    <w:rsid w:val="30452634"/>
    <w:rsid w:val="31377F77"/>
    <w:rsid w:val="31405D31"/>
    <w:rsid w:val="3154407C"/>
    <w:rsid w:val="31B93662"/>
    <w:rsid w:val="327D1A24"/>
    <w:rsid w:val="33771857"/>
    <w:rsid w:val="344B6B0B"/>
    <w:rsid w:val="345B39A6"/>
    <w:rsid w:val="38032A18"/>
    <w:rsid w:val="392D137C"/>
    <w:rsid w:val="394D40F5"/>
    <w:rsid w:val="39C57D9E"/>
    <w:rsid w:val="3AC45266"/>
    <w:rsid w:val="3B1D3FB8"/>
    <w:rsid w:val="3B1E4C60"/>
    <w:rsid w:val="3C433A45"/>
    <w:rsid w:val="3D0469F3"/>
    <w:rsid w:val="3D36348C"/>
    <w:rsid w:val="3D784BDA"/>
    <w:rsid w:val="3F4724CB"/>
    <w:rsid w:val="402122F4"/>
    <w:rsid w:val="415116BA"/>
    <w:rsid w:val="42283394"/>
    <w:rsid w:val="440A7B15"/>
    <w:rsid w:val="444A6451"/>
    <w:rsid w:val="462516EF"/>
    <w:rsid w:val="465643EB"/>
    <w:rsid w:val="48091C9C"/>
    <w:rsid w:val="497C2AA2"/>
    <w:rsid w:val="49B33D9C"/>
    <w:rsid w:val="49BD4789"/>
    <w:rsid w:val="4BA73836"/>
    <w:rsid w:val="4D53614D"/>
    <w:rsid w:val="4EC50FA2"/>
    <w:rsid w:val="4EF817AF"/>
    <w:rsid w:val="50017617"/>
    <w:rsid w:val="50CC4AD4"/>
    <w:rsid w:val="52ED06F4"/>
    <w:rsid w:val="5342049C"/>
    <w:rsid w:val="53BB34B2"/>
    <w:rsid w:val="54A840DE"/>
    <w:rsid w:val="54AC2005"/>
    <w:rsid w:val="54E809E6"/>
    <w:rsid w:val="554779E7"/>
    <w:rsid w:val="554A7237"/>
    <w:rsid w:val="562E7615"/>
    <w:rsid w:val="578D6F41"/>
    <w:rsid w:val="57BA53A1"/>
    <w:rsid w:val="59821EE8"/>
    <w:rsid w:val="59934983"/>
    <w:rsid w:val="59B36DFF"/>
    <w:rsid w:val="5A61732A"/>
    <w:rsid w:val="5A6840D4"/>
    <w:rsid w:val="5A772DC0"/>
    <w:rsid w:val="5C326D51"/>
    <w:rsid w:val="5C642D92"/>
    <w:rsid w:val="5DC12120"/>
    <w:rsid w:val="5E1303AE"/>
    <w:rsid w:val="5E603127"/>
    <w:rsid w:val="5FF81A16"/>
    <w:rsid w:val="60402540"/>
    <w:rsid w:val="619139D6"/>
    <w:rsid w:val="62412FC4"/>
    <w:rsid w:val="62986307"/>
    <w:rsid w:val="62C229B4"/>
    <w:rsid w:val="63EE11D5"/>
    <w:rsid w:val="6449169E"/>
    <w:rsid w:val="64E255D2"/>
    <w:rsid w:val="64E80E4B"/>
    <w:rsid w:val="64F12D1C"/>
    <w:rsid w:val="666157F6"/>
    <w:rsid w:val="672A0ACF"/>
    <w:rsid w:val="68090A09"/>
    <w:rsid w:val="68D04C48"/>
    <w:rsid w:val="69536569"/>
    <w:rsid w:val="6C5058A7"/>
    <w:rsid w:val="6C7E5884"/>
    <w:rsid w:val="6D302078"/>
    <w:rsid w:val="6DDF7C6F"/>
    <w:rsid w:val="6EC355B3"/>
    <w:rsid w:val="6F241791"/>
    <w:rsid w:val="6F5E67D4"/>
    <w:rsid w:val="70E52943"/>
    <w:rsid w:val="730613F0"/>
    <w:rsid w:val="73C55B0D"/>
    <w:rsid w:val="769B5242"/>
    <w:rsid w:val="775E71A5"/>
    <w:rsid w:val="782039A6"/>
    <w:rsid w:val="794518F7"/>
    <w:rsid w:val="797D4CD6"/>
    <w:rsid w:val="79DC15B6"/>
    <w:rsid w:val="7A1A6BF9"/>
    <w:rsid w:val="7A68433D"/>
    <w:rsid w:val="7B4A6D29"/>
    <w:rsid w:val="7B584E53"/>
    <w:rsid w:val="7CC57DDE"/>
    <w:rsid w:val="7D1710B8"/>
    <w:rsid w:val="7D446679"/>
    <w:rsid w:val="7D941D34"/>
    <w:rsid w:val="7F2010C9"/>
    <w:rsid w:val="7F935C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0B2"/>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B70B2"/>
    <w:pPr>
      <w:tabs>
        <w:tab w:val="center" w:pos="4153"/>
        <w:tab w:val="right" w:pos="8306"/>
      </w:tabs>
      <w:snapToGrid w:val="0"/>
      <w:jc w:val="left"/>
    </w:pPr>
    <w:rPr>
      <w:sz w:val="18"/>
      <w:szCs w:val="18"/>
    </w:rPr>
  </w:style>
  <w:style w:type="paragraph" w:styleId="a4">
    <w:name w:val="header"/>
    <w:basedOn w:val="a"/>
    <w:qFormat/>
    <w:rsid w:val="006B70B2"/>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6B70B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1392</Words>
  <Characters>7940</Characters>
  <Application>Microsoft Office Word</Application>
  <DocSecurity>0</DocSecurity>
  <Lines>66</Lines>
  <Paragraphs>18</Paragraphs>
  <ScaleCrop>false</ScaleCrop>
  <Company>Microsoft</Company>
  <LinksUpToDate>false</LinksUpToDate>
  <CharactersWithSpaces>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meiyan</cp:lastModifiedBy>
  <cp:revision>3</cp:revision>
  <cp:lastPrinted>2017-08-24T01:16:00Z</cp:lastPrinted>
  <dcterms:created xsi:type="dcterms:W3CDTF">2016-10-08T11:53:00Z</dcterms:created>
  <dcterms:modified xsi:type="dcterms:W3CDTF">2017-09-01T01:36:00Z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