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E38" w:rsidRPr="007F4CDC" w:rsidRDefault="000F7E38" w:rsidP="000F7E38">
      <w:pPr>
        <w:rPr>
          <w:rFonts w:ascii="黑体" w:eastAsia="黑体" w:hAnsi="黑体" w:hint="eastAsia"/>
          <w:lang w:eastAsia="zh-CN"/>
        </w:rPr>
      </w:pPr>
      <w:r w:rsidRPr="007F4CDC">
        <w:rPr>
          <w:rFonts w:ascii="黑体" w:eastAsia="黑体" w:hAnsi="黑体" w:hint="eastAsia"/>
          <w:lang w:eastAsia="zh-CN"/>
        </w:rPr>
        <w:t>附件2</w:t>
      </w:r>
      <w:bookmarkStart w:id="0" w:name="_GoBack"/>
      <w:bookmarkEnd w:id="0"/>
    </w:p>
    <w:p w:rsidR="000F7E38" w:rsidRPr="007F4CDC" w:rsidRDefault="000F7E38" w:rsidP="000F7E38">
      <w:pPr>
        <w:jc w:val="center"/>
        <w:rPr>
          <w:rFonts w:ascii="方正小标宋简体" w:eastAsia="方正小标宋简体" w:hAnsi="黑体" w:hint="eastAsia"/>
          <w:szCs w:val="32"/>
          <w:lang w:eastAsia="zh-CN"/>
        </w:rPr>
      </w:pPr>
      <w:r w:rsidRPr="007F4CDC">
        <w:rPr>
          <w:rFonts w:ascii="方正小标宋简体" w:eastAsia="方正小标宋简体" w:hAnsi="黑体" w:hint="eastAsia"/>
          <w:szCs w:val="32"/>
          <w:lang w:eastAsia="zh-CN"/>
        </w:rPr>
        <w:t>普陀区加强住宅小区综合治理三年行动计划（2015-2017）重点工作任务分解表</w:t>
      </w:r>
    </w:p>
    <w:tbl>
      <w:tblPr>
        <w:tblW w:w="15482" w:type="dxa"/>
        <w:tblInd w:w="-131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662"/>
        <w:gridCol w:w="2249"/>
        <w:gridCol w:w="4940"/>
        <w:gridCol w:w="1368"/>
        <w:gridCol w:w="1632"/>
        <w:gridCol w:w="1897"/>
        <w:gridCol w:w="1992"/>
        <w:gridCol w:w="742"/>
      </w:tblGrid>
      <w:tr w:rsidR="000F7E38" w:rsidRPr="007F4CDC" w:rsidTr="003328B7">
        <w:trPr>
          <w:trHeight w:val="567"/>
        </w:trPr>
        <w:tc>
          <w:tcPr>
            <w:tcW w:w="66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b/>
                <w:bCs/>
                <w:kern w:val="0"/>
                <w:sz w:val="21"/>
                <w:szCs w:val="21"/>
                <w:lang w:eastAsia="zh-CN"/>
              </w:rPr>
            </w:pPr>
            <w:r w:rsidRPr="007F4CDC">
              <w:rPr>
                <w:rFonts w:ascii="仿宋_GB2312" w:hAnsi="宋体" w:cs="Calibri" w:hint="eastAsia"/>
                <w:b/>
                <w:bCs/>
                <w:kern w:val="0"/>
                <w:sz w:val="21"/>
                <w:szCs w:val="21"/>
                <w:lang w:eastAsia="zh-CN"/>
              </w:rPr>
              <w:t>序号</w:t>
            </w:r>
          </w:p>
        </w:tc>
        <w:tc>
          <w:tcPr>
            <w:tcW w:w="2249"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b/>
                <w:bCs/>
                <w:kern w:val="0"/>
                <w:sz w:val="21"/>
                <w:szCs w:val="21"/>
                <w:lang w:eastAsia="zh-CN"/>
              </w:rPr>
            </w:pPr>
            <w:r w:rsidRPr="007F4CDC">
              <w:rPr>
                <w:rFonts w:ascii="仿宋_GB2312" w:hAnsi="宋体" w:cs="Calibri" w:hint="eastAsia"/>
                <w:b/>
                <w:bCs/>
                <w:kern w:val="0"/>
                <w:sz w:val="21"/>
                <w:szCs w:val="21"/>
                <w:lang w:eastAsia="zh-CN"/>
              </w:rPr>
              <w:t>工作任务</w:t>
            </w:r>
          </w:p>
        </w:tc>
        <w:tc>
          <w:tcPr>
            <w:tcW w:w="4940"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b/>
                <w:bCs/>
                <w:kern w:val="0"/>
                <w:sz w:val="21"/>
                <w:szCs w:val="21"/>
                <w:lang w:eastAsia="zh-CN"/>
              </w:rPr>
            </w:pPr>
            <w:r w:rsidRPr="007F4CDC">
              <w:rPr>
                <w:rFonts w:ascii="仿宋_GB2312" w:hAnsi="宋体" w:cs="Calibri" w:hint="eastAsia"/>
                <w:b/>
                <w:bCs/>
                <w:kern w:val="0"/>
                <w:sz w:val="21"/>
                <w:szCs w:val="21"/>
                <w:lang w:eastAsia="zh-CN"/>
              </w:rPr>
              <w:t>主要内容</w:t>
            </w:r>
          </w:p>
        </w:tc>
        <w:tc>
          <w:tcPr>
            <w:tcW w:w="1368"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b/>
                <w:bCs/>
                <w:kern w:val="0"/>
                <w:sz w:val="21"/>
                <w:szCs w:val="21"/>
                <w:lang w:eastAsia="zh-CN"/>
              </w:rPr>
            </w:pPr>
            <w:r w:rsidRPr="007F4CDC">
              <w:rPr>
                <w:rFonts w:ascii="仿宋_GB2312" w:hAnsi="宋体" w:cs="Calibri" w:hint="eastAsia"/>
                <w:b/>
                <w:bCs/>
                <w:kern w:val="0"/>
                <w:sz w:val="21"/>
                <w:szCs w:val="21"/>
                <w:lang w:eastAsia="zh-CN"/>
              </w:rPr>
              <w:t>时间节点</w:t>
            </w:r>
          </w:p>
        </w:tc>
        <w:tc>
          <w:tcPr>
            <w:tcW w:w="1632" w:type="dxa"/>
            <w:shd w:val="clear" w:color="auto" w:fill="auto"/>
            <w:vAlign w:val="center"/>
            <w:hideMark/>
          </w:tcPr>
          <w:p w:rsidR="000F7E38" w:rsidRDefault="000F7E38" w:rsidP="003328B7">
            <w:pPr>
              <w:widowControl/>
              <w:spacing w:line="280" w:lineRule="exact"/>
              <w:jc w:val="center"/>
              <w:rPr>
                <w:rFonts w:ascii="仿宋_GB2312" w:hAnsi="宋体" w:cs="Calibri" w:hint="eastAsia"/>
                <w:b/>
                <w:bCs/>
                <w:kern w:val="0"/>
                <w:sz w:val="21"/>
                <w:szCs w:val="21"/>
                <w:lang w:eastAsia="zh-CN"/>
              </w:rPr>
            </w:pPr>
            <w:r w:rsidRPr="007F4CDC">
              <w:rPr>
                <w:rFonts w:ascii="仿宋_GB2312" w:hAnsi="宋体" w:cs="Calibri" w:hint="eastAsia"/>
                <w:b/>
                <w:bCs/>
                <w:kern w:val="0"/>
                <w:sz w:val="21"/>
                <w:szCs w:val="21"/>
                <w:lang w:eastAsia="zh-CN"/>
              </w:rPr>
              <w:t>牵头部门</w:t>
            </w:r>
          </w:p>
          <w:p w:rsidR="000F7E38" w:rsidRPr="007F4CDC" w:rsidRDefault="000F7E38" w:rsidP="003328B7">
            <w:pPr>
              <w:widowControl/>
              <w:spacing w:line="280" w:lineRule="exact"/>
              <w:jc w:val="center"/>
              <w:rPr>
                <w:rFonts w:ascii="仿宋_GB2312" w:hAnsi="宋体" w:cs="Calibri" w:hint="eastAsia"/>
                <w:b/>
                <w:bCs/>
                <w:kern w:val="0"/>
                <w:sz w:val="21"/>
                <w:szCs w:val="21"/>
                <w:lang w:eastAsia="zh-CN"/>
              </w:rPr>
            </w:pPr>
            <w:r w:rsidRPr="007F4CDC">
              <w:rPr>
                <w:rFonts w:ascii="仿宋_GB2312" w:hAnsi="宋体" w:cs="Calibri" w:hint="eastAsia"/>
                <w:b/>
                <w:bCs/>
                <w:kern w:val="0"/>
                <w:sz w:val="21"/>
                <w:szCs w:val="21"/>
                <w:lang w:eastAsia="zh-CN"/>
              </w:rPr>
              <w:t>（单位）</w:t>
            </w:r>
          </w:p>
        </w:tc>
        <w:tc>
          <w:tcPr>
            <w:tcW w:w="1897" w:type="dxa"/>
            <w:shd w:val="clear" w:color="auto" w:fill="auto"/>
            <w:vAlign w:val="center"/>
            <w:hideMark/>
          </w:tcPr>
          <w:p w:rsidR="000F7E38" w:rsidRDefault="000F7E38" w:rsidP="003328B7">
            <w:pPr>
              <w:widowControl/>
              <w:spacing w:line="280" w:lineRule="exact"/>
              <w:jc w:val="center"/>
              <w:rPr>
                <w:rFonts w:ascii="仿宋_GB2312" w:hAnsi="宋体" w:cs="Calibri" w:hint="eastAsia"/>
                <w:b/>
                <w:bCs/>
                <w:kern w:val="0"/>
                <w:sz w:val="21"/>
                <w:szCs w:val="21"/>
                <w:lang w:eastAsia="zh-CN"/>
              </w:rPr>
            </w:pPr>
            <w:r w:rsidRPr="007F4CDC">
              <w:rPr>
                <w:rFonts w:ascii="仿宋_GB2312" w:hAnsi="宋体" w:cs="Calibri" w:hint="eastAsia"/>
                <w:b/>
                <w:bCs/>
                <w:kern w:val="0"/>
                <w:sz w:val="21"/>
                <w:szCs w:val="21"/>
                <w:lang w:eastAsia="zh-CN"/>
              </w:rPr>
              <w:t>配合部门</w:t>
            </w:r>
          </w:p>
          <w:p w:rsidR="000F7E38" w:rsidRPr="007F4CDC" w:rsidRDefault="000F7E38" w:rsidP="003328B7">
            <w:pPr>
              <w:widowControl/>
              <w:spacing w:line="280" w:lineRule="exact"/>
              <w:jc w:val="center"/>
              <w:rPr>
                <w:rFonts w:ascii="仿宋_GB2312" w:hAnsi="宋体" w:cs="Calibri" w:hint="eastAsia"/>
                <w:b/>
                <w:bCs/>
                <w:kern w:val="0"/>
                <w:sz w:val="21"/>
                <w:szCs w:val="21"/>
                <w:lang w:eastAsia="zh-CN"/>
              </w:rPr>
            </w:pPr>
            <w:r w:rsidRPr="007F4CDC">
              <w:rPr>
                <w:rFonts w:ascii="仿宋_GB2312" w:hAnsi="宋体" w:cs="Calibri" w:hint="eastAsia"/>
                <w:b/>
                <w:bCs/>
                <w:kern w:val="0"/>
                <w:sz w:val="21"/>
                <w:szCs w:val="21"/>
                <w:lang w:eastAsia="zh-CN"/>
              </w:rPr>
              <w:t>（单位）</w:t>
            </w:r>
          </w:p>
        </w:tc>
        <w:tc>
          <w:tcPr>
            <w:tcW w:w="1992" w:type="dxa"/>
            <w:shd w:val="clear" w:color="auto" w:fill="auto"/>
            <w:vAlign w:val="center"/>
            <w:hideMark/>
          </w:tcPr>
          <w:p w:rsidR="000F7E38" w:rsidRDefault="000F7E38" w:rsidP="003328B7">
            <w:pPr>
              <w:widowControl/>
              <w:spacing w:line="280" w:lineRule="exact"/>
              <w:jc w:val="center"/>
              <w:rPr>
                <w:rFonts w:ascii="仿宋_GB2312" w:hAnsi="宋体" w:cs="Calibri" w:hint="eastAsia"/>
                <w:b/>
                <w:bCs/>
                <w:kern w:val="0"/>
                <w:sz w:val="21"/>
                <w:szCs w:val="21"/>
                <w:lang w:eastAsia="zh-CN"/>
              </w:rPr>
            </w:pPr>
            <w:r w:rsidRPr="007F4CDC">
              <w:rPr>
                <w:rFonts w:ascii="仿宋_GB2312" w:hAnsi="宋体" w:cs="Calibri" w:hint="eastAsia"/>
                <w:b/>
                <w:bCs/>
                <w:kern w:val="0"/>
                <w:sz w:val="21"/>
                <w:szCs w:val="21"/>
                <w:lang w:eastAsia="zh-CN"/>
              </w:rPr>
              <w:t>实施部门</w:t>
            </w:r>
          </w:p>
          <w:p w:rsidR="000F7E38" w:rsidRPr="007F4CDC" w:rsidRDefault="000F7E38" w:rsidP="003328B7">
            <w:pPr>
              <w:widowControl/>
              <w:spacing w:line="280" w:lineRule="exact"/>
              <w:jc w:val="center"/>
              <w:rPr>
                <w:rFonts w:ascii="仿宋_GB2312" w:hAnsi="宋体" w:cs="Calibri" w:hint="eastAsia"/>
                <w:b/>
                <w:bCs/>
                <w:kern w:val="0"/>
                <w:sz w:val="21"/>
                <w:szCs w:val="21"/>
                <w:lang w:eastAsia="zh-CN"/>
              </w:rPr>
            </w:pPr>
            <w:r w:rsidRPr="007F4CDC">
              <w:rPr>
                <w:rFonts w:ascii="仿宋_GB2312" w:hAnsi="宋体" w:cs="Calibri" w:hint="eastAsia"/>
                <w:b/>
                <w:bCs/>
                <w:kern w:val="0"/>
                <w:sz w:val="21"/>
                <w:szCs w:val="21"/>
                <w:lang w:eastAsia="zh-CN"/>
              </w:rPr>
              <w:t>（单位）</w:t>
            </w:r>
          </w:p>
        </w:tc>
        <w:tc>
          <w:tcPr>
            <w:tcW w:w="74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b/>
                <w:bCs/>
                <w:kern w:val="0"/>
                <w:sz w:val="21"/>
                <w:szCs w:val="21"/>
                <w:lang w:eastAsia="zh-CN"/>
              </w:rPr>
            </w:pPr>
            <w:r w:rsidRPr="007F4CDC">
              <w:rPr>
                <w:rFonts w:ascii="仿宋_GB2312" w:hAnsi="宋体" w:cs="Calibri" w:hint="eastAsia"/>
                <w:b/>
                <w:bCs/>
                <w:kern w:val="0"/>
                <w:sz w:val="21"/>
                <w:szCs w:val="21"/>
                <w:lang w:eastAsia="zh-CN"/>
              </w:rPr>
              <w:t>备注</w:t>
            </w:r>
          </w:p>
        </w:tc>
      </w:tr>
      <w:tr w:rsidR="000F7E38" w:rsidRPr="007F4CDC" w:rsidTr="003328B7">
        <w:trPr>
          <w:trHeight w:val="567"/>
        </w:trPr>
        <w:tc>
          <w:tcPr>
            <w:tcW w:w="15482" w:type="dxa"/>
            <w:gridSpan w:val="8"/>
            <w:shd w:val="clear" w:color="auto" w:fill="auto"/>
            <w:noWrap/>
            <w:vAlign w:val="center"/>
            <w:hideMark/>
          </w:tcPr>
          <w:p w:rsidR="000F7E38" w:rsidRPr="007F4CDC" w:rsidRDefault="000F7E38" w:rsidP="003328B7">
            <w:pPr>
              <w:widowControl/>
              <w:spacing w:line="280" w:lineRule="exact"/>
              <w:jc w:val="left"/>
              <w:rPr>
                <w:rFonts w:ascii="仿宋_GB2312" w:hAnsi="黑体" w:cs="Calibri" w:hint="eastAsia"/>
                <w:b/>
                <w:bCs/>
                <w:kern w:val="0"/>
                <w:sz w:val="21"/>
                <w:szCs w:val="21"/>
                <w:lang w:eastAsia="zh-CN"/>
              </w:rPr>
            </w:pPr>
            <w:r w:rsidRPr="007F4CDC">
              <w:rPr>
                <w:rFonts w:ascii="仿宋_GB2312" w:hAnsi="黑体" w:cs="Calibri" w:hint="eastAsia"/>
                <w:b/>
                <w:bCs/>
                <w:kern w:val="0"/>
                <w:sz w:val="21"/>
                <w:szCs w:val="21"/>
                <w:lang w:eastAsia="zh-CN"/>
              </w:rPr>
              <w:t>（一）理顺管理体制机制，提高住宅小区综合管理水平</w:t>
            </w:r>
          </w:p>
        </w:tc>
      </w:tr>
      <w:tr w:rsidR="000F7E38" w:rsidRPr="007F4CDC" w:rsidTr="003328B7">
        <w:trPr>
          <w:trHeight w:val="567"/>
        </w:trPr>
        <w:tc>
          <w:tcPr>
            <w:tcW w:w="662" w:type="dxa"/>
            <w:shd w:val="clear" w:color="auto" w:fill="auto"/>
            <w:noWrap/>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1</w:t>
            </w:r>
          </w:p>
        </w:tc>
        <w:tc>
          <w:tcPr>
            <w:tcW w:w="2249"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落实职责分工</w:t>
            </w:r>
          </w:p>
        </w:tc>
        <w:tc>
          <w:tcPr>
            <w:tcW w:w="4940" w:type="dxa"/>
            <w:shd w:val="clear" w:color="auto" w:fill="auto"/>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制定住宅小区综合管理职能部门和专业单位职责清单,明确职责分工</w:t>
            </w:r>
          </w:p>
        </w:tc>
        <w:tc>
          <w:tcPr>
            <w:tcW w:w="1368"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2015.9</w:t>
            </w:r>
          </w:p>
        </w:tc>
        <w:tc>
          <w:tcPr>
            <w:tcW w:w="163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区房管局、区建管委</w:t>
            </w:r>
          </w:p>
        </w:tc>
        <w:tc>
          <w:tcPr>
            <w:tcW w:w="1897"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各相关部门（单位）、各街道镇</w:t>
            </w:r>
          </w:p>
        </w:tc>
        <w:tc>
          <w:tcPr>
            <w:tcW w:w="199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职责清单中相关部门（单位）</w:t>
            </w:r>
          </w:p>
        </w:tc>
        <w:tc>
          <w:tcPr>
            <w:tcW w:w="742" w:type="dxa"/>
            <w:shd w:val="clear" w:color="auto" w:fill="auto"/>
            <w:noWrap/>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 xml:space="preserve">　</w:t>
            </w:r>
          </w:p>
        </w:tc>
      </w:tr>
      <w:tr w:rsidR="000F7E38" w:rsidRPr="007F4CDC" w:rsidTr="003328B7">
        <w:trPr>
          <w:trHeight w:val="567"/>
        </w:trPr>
        <w:tc>
          <w:tcPr>
            <w:tcW w:w="662" w:type="dxa"/>
            <w:shd w:val="clear" w:color="auto" w:fill="auto"/>
            <w:noWrap/>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2</w:t>
            </w:r>
          </w:p>
        </w:tc>
        <w:tc>
          <w:tcPr>
            <w:tcW w:w="2249" w:type="dxa"/>
            <w:vMerge w:val="restart"/>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完善综合管理机制</w:t>
            </w:r>
          </w:p>
        </w:tc>
        <w:tc>
          <w:tcPr>
            <w:tcW w:w="4940" w:type="dxa"/>
            <w:shd w:val="clear" w:color="auto" w:fill="auto"/>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建立区级住宅小区综合管理联席会议制度</w:t>
            </w:r>
          </w:p>
        </w:tc>
        <w:tc>
          <w:tcPr>
            <w:tcW w:w="1368"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2015.9</w:t>
            </w:r>
          </w:p>
        </w:tc>
        <w:tc>
          <w:tcPr>
            <w:tcW w:w="163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区联席会议办公室</w:t>
            </w:r>
          </w:p>
        </w:tc>
        <w:tc>
          <w:tcPr>
            <w:tcW w:w="1897"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各相关部门（单位）、各街道镇</w:t>
            </w:r>
          </w:p>
        </w:tc>
        <w:tc>
          <w:tcPr>
            <w:tcW w:w="199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区联席会议办公室</w:t>
            </w:r>
          </w:p>
        </w:tc>
        <w:tc>
          <w:tcPr>
            <w:tcW w:w="742" w:type="dxa"/>
            <w:shd w:val="clear" w:color="auto" w:fill="auto"/>
            <w:noWrap/>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 xml:space="preserve">　</w:t>
            </w:r>
          </w:p>
        </w:tc>
      </w:tr>
      <w:tr w:rsidR="000F7E38" w:rsidRPr="007F4CDC" w:rsidTr="003328B7">
        <w:trPr>
          <w:trHeight w:val="567"/>
        </w:trPr>
        <w:tc>
          <w:tcPr>
            <w:tcW w:w="662" w:type="dxa"/>
            <w:shd w:val="clear" w:color="auto" w:fill="auto"/>
            <w:noWrap/>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3</w:t>
            </w:r>
          </w:p>
        </w:tc>
        <w:tc>
          <w:tcPr>
            <w:tcW w:w="2249" w:type="dxa"/>
            <w:vMerge/>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p>
        </w:tc>
        <w:tc>
          <w:tcPr>
            <w:tcW w:w="4940" w:type="dxa"/>
            <w:shd w:val="clear" w:color="auto" w:fill="auto"/>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街道镇落实住宅小区综合管理联席会议制度</w:t>
            </w:r>
          </w:p>
        </w:tc>
        <w:tc>
          <w:tcPr>
            <w:tcW w:w="1368"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2015.9</w:t>
            </w:r>
          </w:p>
        </w:tc>
        <w:tc>
          <w:tcPr>
            <w:tcW w:w="163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各街道镇</w:t>
            </w:r>
          </w:p>
        </w:tc>
        <w:tc>
          <w:tcPr>
            <w:tcW w:w="1897"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各相关部门（单位）</w:t>
            </w:r>
          </w:p>
        </w:tc>
        <w:tc>
          <w:tcPr>
            <w:tcW w:w="199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各街道镇</w:t>
            </w:r>
          </w:p>
        </w:tc>
        <w:tc>
          <w:tcPr>
            <w:tcW w:w="742" w:type="dxa"/>
            <w:shd w:val="clear" w:color="auto" w:fill="auto"/>
            <w:noWrap/>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 xml:space="preserve">　</w:t>
            </w:r>
          </w:p>
        </w:tc>
      </w:tr>
      <w:tr w:rsidR="000F7E38" w:rsidRPr="007F4CDC" w:rsidTr="003328B7">
        <w:trPr>
          <w:trHeight w:val="567"/>
        </w:trPr>
        <w:tc>
          <w:tcPr>
            <w:tcW w:w="662" w:type="dxa"/>
            <w:shd w:val="clear" w:color="auto" w:fill="auto"/>
            <w:noWrap/>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4</w:t>
            </w:r>
          </w:p>
        </w:tc>
        <w:tc>
          <w:tcPr>
            <w:tcW w:w="2249" w:type="dxa"/>
            <w:vMerge/>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p>
        </w:tc>
        <w:tc>
          <w:tcPr>
            <w:tcW w:w="4940" w:type="dxa"/>
            <w:shd w:val="clear" w:color="auto" w:fill="auto"/>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推进实施网格化管理向住宅小区延伸覆盖</w:t>
            </w:r>
          </w:p>
        </w:tc>
        <w:tc>
          <w:tcPr>
            <w:tcW w:w="1368"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2015-2017</w:t>
            </w:r>
          </w:p>
        </w:tc>
        <w:tc>
          <w:tcPr>
            <w:tcW w:w="163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区网格化综合管理中心</w:t>
            </w:r>
          </w:p>
        </w:tc>
        <w:tc>
          <w:tcPr>
            <w:tcW w:w="1897"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各相关部门（单位）、各街道镇网格化综合管理中心</w:t>
            </w:r>
          </w:p>
        </w:tc>
        <w:tc>
          <w:tcPr>
            <w:tcW w:w="199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各街道镇网格化综合管理中心</w:t>
            </w:r>
          </w:p>
        </w:tc>
        <w:tc>
          <w:tcPr>
            <w:tcW w:w="742" w:type="dxa"/>
            <w:shd w:val="clear" w:color="auto" w:fill="auto"/>
            <w:noWrap/>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 xml:space="preserve">　</w:t>
            </w:r>
          </w:p>
        </w:tc>
      </w:tr>
      <w:tr w:rsidR="000F7E38" w:rsidRPr="007F4CDC" w:rsidTr="003328B7">
        <w:trPr>
          <w:trHeight w:val="567"/>
        </w:trPr>
        <w:tc>
          <w:tcPr>
            <w:tcW w:w="662" w:type="dxa"/>
            <w:shd w:val="clear" w:color="auto" w:fill="auto"/>
            <w:noWrap/>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5</w:t>
            </w:r>
          </w:p>
        </w:tc>
        <w:tc>
          <w:tcPr>
            <w:tcW w:w="2249" w:type="dxa"/>
            <w:vMerge/>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p>
        </w:tc>
        <w:tc>
          <w:tcPr>
            <w:tcW w:w="4940" w:type="dxa"/>
            <w:shd w:val="clear" w:color="auto" w:fill="auto"/>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健全住宅小区综合执法机制</w:t>
            </w:r>
          </w:p>
        </w:tc>
        <w:tc>
          <w:tcPr>
            <w:tcW w:w="1368" w:type="dxa"/>
            <w:tcBorders>
              <w:bottom w:val="single" w:sz="4" w:space="0" w:color="auto"/>
            </w:tcBorders>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2015.9</w:t>
            </w:r>
          </w:p>
        </w:tc>
        <w:tc>
          <w:tcPr>
            <w:tcW w:w="163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区城市管理行政执法局</w:t>
            </w:r>
          </w:p>
        </w:tc>
        <w:tc>
          <w:tcPr>
            <w:tcW w:w="1897"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各街道镇</w:t>
            </w:r>
          </w:p>
        </w:tc>
        <w:tc>
          <w:tcPr>
            <w:tcW w:w="199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各街道镇、各街道镇城管中队</w:t>
            </w:r>
          </w:p>
        </w:tc>
        <w:tc>
          <w:tcPr>
            <w:tcW w:w="742" w:type="dxa"/>
            <w:shd w:val="clear" w:color="auto" w:fill="auto"/>
            <w:noWrap/>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 xml:space="preserve">　</w:t>
            </w:r>
          </w:p>
        </w:tc>
      </w:tr>
      <w:tr w:rsidR="000F7E38" w:rsidRPr="007F4CDC" w:rsidTr="003328B7">
        <w:trPr>
          <w:trHeight w:val="567"/>
        </w:trPr>
        <w:tc>
          <w:tcPr>
            <w:tcW w:w="662" w:type="dxa"/>
            <w:shd w:val="clear" w:color="auto" w:fill="auto"/>
            <w:noWrap/>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6</w:t>
            </w:r>
          </w:p>
        </w:tc>
        <w:tc>
          <w:tcPr>
            <w:tcW w:w="2249" w:type="dxa"/>
            <w:vMerge w:val="restart"/>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做实住宅小区综合管理联席会议制度</w:t>
            </w:r>
          </w:p>
        </w:tc>
        <w:tc>
          <w:tcPr>
            <w:tcW w:w="4940" w:type="dxa"/>
            <w:shd w:val="clear" w:color="auto" w:fill="auto"/>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为住宅小区综合治理三年行动计划各项目标任务提供配套财政资金保障</w:t>
            </w:r>
          </w:p>
        </w:tc>
        <w:tc>
          <w:tcPr>
            <w:tcW w:w="1368" w:type="dxa"/>
            <w:tcBorders>
              <w:top w:val="single" w:sz="4" w:space="0" w:color="auto"/>
              <w:bottom w:val="single" w:sz="4" w:space="0" w:color="auto"/>
            </w:tcBorders>
            <w:shd w:val="clear" w:color="000000" w:fill="auto"/>
            <w:vAlign w:val="center"/>
            <w:hideMark/>
          </w:tcPr>
          <w:p w:rsidR="000F7E38" w:rsidRPr="002E35C0" w:rsidRDefault="000F7E38" w:rsidP="003328B7">
            <w:pPr>
              <w:widowControl/>
              <w:spacing w:line="280" w:lineRule="exact"/>
              <w:jc w:val="center"/>
              <w:rPr>
                <w:rFonts w:ascii="仿宋_GB2312" w:hAnsi="宋体" w:cs="Calibri" w:hint="eastAsia"/>
                <w:kern w:val="0"/>
                <w:sz w:val="21"/>
                <w:szCs w:val="21"/>
                <w:lang w:eastAsia="zh-CN"/>
              </w:rPr>
            </w:pPr>
            <w:r w:rsidRPr="002E35C0">
              <w:rPr>
                <w:rFonts w:ascii="仿宋_GB2312" w:hAnsi="宋体" w:cs="Calibri" w:hint="eastAsia"/>
                <w:kern w:val="0"/>
                <w:sz w:val="21"/>
                <w:szCs w:val="21"/>
                <w:lang w:eastAsia="zh-CN"/>
              </w:rPr>
              <w:t>2015-2017</w:t>
            </w:r>
          </w:p>
        </w:tc>
        <w:tc>
          <w:tcPr>
            <w:tcW w:w="163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区财政局</w:t>
            </w:r>
          </w:p>
        </w:tc>
        <w:tc>
          <w:tcPr>
            <w:tcW w:w="1897"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区房管局、区建管委、各街道镇</w:t>
            </w:r>
          </w:p>
        </w:tc>
        <w:tc>
          <w:tcPr>
            <w:tcW w:w="199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区财政局、区房管局、各街道镇</w:t>
            </w:r>
          </w:p>
        </w:tc>
        <w:tc>
          <w:tcPr>
            <w:tcW w:w="74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 xml:space="preserve">　</w:t>
            </w:r>
          </w:p>
        </w:tc>
      </w:tr>
      <w:tr w:rsidR="000F7E38" w:rsidRPr="007F4CDC" w:rsidTr="003328B7">
        <w:trPr>
          <w:trHeight w:val="567"/>
        </w:trPr>
        <w:tc>
          <w:tcPr>
            <w:tcW w:w="662" w:type="dxa"/>
            <w:shd w:val="clear" w:color="000000" w:fill="FFFFFF"/>
            <w:noWrap/>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7</w:t>
            </w:r>
          </w:p>
        </w:tc>
        <w:tc>
          <w:tcPr>
            <w:tcW w:w="2249" w:type="dxa"/>
            <w:vMerge/>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p>
        </w:tc>
        <w:tc>
          <w:tcPr>
            <w:tcW w:w="4940" w:type="dxa"/>
            <w:shd w:val="clear" w:color="auto" w:fill="auto"/>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根据市编办制定的街镇城市综合管理（含住宅小区综合管理）机构设置方案，落实住宅小区综合管理联席会议日常工作机构人员配置</w:t>
            </w:r>
          </w:p>
        </w:tc>
        <w:tc>
          <w:tcPr>
            <w:tcW w:w="1368" w:type="dxa"/>
            <w:tcBorders>
              <w:top w:val="single" w:sz="4" w:space="0" w:color="auto"/>
            </w:tcBorders>
            <w:shd w:val="clear" w:color="000000" w:fill="FFFFFF"/>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2015</w:t>
            </w:r>
          </w:p>
        </w:tc>
        <w:tc>
          <w:tcPr>
            <w:tcW w:w="1632" w:type="dxa"/>
            <w:shd w:val="clear" w:color="000000" w:fill="FFFFFF"/>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区编办</w:t>
            </w:r>
          </w:p>
        </w:tc>
        <w:tc>
          <w:tcPr>
            <w:tcW w:w="1897" w:type="dxa"/>
            <w:shd w:val="clear" w:color="000000" w:fill="FFFFFF"/>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区社区办</w:t>
            </w:r>
          </w:p>
        </w:tc>
        <w:tc>
          <w:tcPr>
            <w:tcW w:w="1992" w:type="dxa"/>
            <w:shd w:val="clear" w:color="000000" w:fill="FFFFFF"/>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各街道镇</w:t>
            </w:r>
          </w:p>
        </w:tc>
        <w:tc>
          <w:tcPr>
            <w:tcW w:w="742" w:type="dxa"/>
            <w:shd w:val="clear" w:color="000000" w:fill="FFFFFF"/>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 xml:space="preserve">　</w:t>
            </w:r>
          </w:p>
        </w:tc>
      </w:tr>
      <w:tr w:rsidR="000F7E38" w:rsidRPr="007F4CDC" w:rsidTr="003328B7">
        <w:trPr>
          <w:trHeight w:val="567"/>
        </w:trPr>
        <w:tc>
          <w:tcPr>
            <w:tcW w:w="662" w:type="dxa"/>
            <w:shd w:val="clear" w:color="auto" w:fill="auto"/>
            <w:noWrap/>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8</w:t>
            </w:r>
          </w:p>
        </w:tc>
        <w:tc>
          <w:tcPr>
            <w:tcW w:w="2249" w:type="dxa"/>
            <w:vMerge/>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p>
        </w:tc>
        <w:tc>
          <w:tcPr>
            <w:tcW w:w="4940" w:type="dxa"/>
            <w:shd w:val="clear" w:color="auto" w:fill="auto"/>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形成规范的信息报送模式，确保住宅小区综合管理中信息传递的畅通、快速、真实</w:t>
            </w:r>
          </w:p>
        </w:tc>
        <w:tc>
          <w:tcPr>
            <w:tcW w:w="1368"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2015-2017</w:t>
            </w:r>
          </w:p>
        </w:tc>
        <w:tc>
          <w:tcPr>
            <w:tcW w:w="163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区联席会议办公室</w:t>
            </w:r>
          </w:p>
        </w:tc>
        <w:tc>
          <w:tcPr>
            <w:tcW w:w="1897"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各级联席会议办公室</w:t>
            </w:r>
          </w:p>
        </w:tc>
        <w:tc>
          <w:tcPr>
            <w:tcW w:w="199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区、街道镇、居民区联席会议办公室</w:t>
            </w:r>
          </w:p>
        </w:tc>
        <w:tc>
          <w:tcPr>
            <w:tcW w:w="74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 xml:space="preserve">　</w:t>
            </w:r>
          </w:p>
        </w:tc>
      </w:tr>
      <w:tr w:rsidR="000F7E38" w:rsidRPr="007F4CDC" w:rsidTr="003328B7">
        <w:trPr>
          <w:trHeight w:val="567"/>
        </w:trPr>
        <w:tc>
          <w:tcPr>
            <w:tcW w:w="662" w:type="dxa"/>
            <w:shd w:val="clear" w:color="auto" w:fill="auto"/>
            <w:noWrap/>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9</w:t>
            </w:r>
          </w:p>
        </w:tc>
        <w:tc>
          <w:tcPr>
            <w:tcW w:w="2249" w:type="dxa"/>
            <w:vMerge w:val="restart"/>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强化考核督查</w:t>
            </w:r>
          </w:p>
        </w:tc>
        <w:tc>
          <w:tcPr>
            <w:tcW w:w="4940" w:type="dxa"/>
            <w:shd w:val="clear" w:color="auto" w:fill="auto"/>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建立并落实住宅小区综合治理考核指标体系和考核办法</w:t>
            </w:r>
          </w:p>
        </w:tc>
        <w:tc>
          <w:tcPr>
            <w:tcW w:w="1368"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2015.9</w:t>
            </w:r>
          </w:p>
        </w:tc>
        <w:tc>
          <w:tcPr>
            <w:tcW w:w="163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区联席会议办公室</w:t>
            </w:r>
          </w:p>
        </w:tc>
        <w:tc>
          <w:tcPr>
            <w:tcW w:w="1897"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各相关部门（单位）、各街道镇</w:t>
            </w:r>
          </w:p>
        </w:tc>
        <w:tc>
          <w:tcPr>
            <w:tcW w:w="199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区、街道镇联席会议办公室</w:t>
            </w:r>
          </w:p>
        </w:tc>
        <w:tc>
          <w:tcPr>
            <w:tcW w:w="74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 xml:space="preserve">　</w:t>
            </w:r>
          </w:p>
        </w:tc>
      </w:tr>
      <w:tr w:rsidR="000F7E38" w:rsidRPr="007F4CDC" w:rsidTr="003328B7">
        <w:trPr>
          <w:trHeight w:val="567"/>
        </w:trPr>
        <w:tc>
          <w:tcPr>
            <w:tcW w:w="662" w:type="dxa"/>
            <w:shd w:val="clear" w:color="auto" w:fill="auto"/>
            <w:noWrap/>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10</w:t>
            </w:r>
          </w:p>
        </w:tc>
        <w:tc>
          <w:tcPr>
            <w:tcW w:w="2249" w:type="dxa"/>
            <w:vMerge/>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p>
        </w:tc>
        <w:tc>
          <w:tcPr>
            <w:tcW w:w="4940" w:type="dxa"/>
            <w:shd w:val="clear" w:color="auto" w:fill="auto"/>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对区各相关部门住宅小区综合管理工作进行督查</w:t>
            </w:r>
          </w:p>
        </w:tc>
        <w:tc>
          <w:tcPr>
            <w:tcW w:w="1368"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2015-2017</w:t>
            </w:r>
          </w:p>
        </w:tc>
        <w:tc>
          <w:tcPr>
            <w:tcW w:w="163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区监察局</w:t>
            </w:r>
          </w:p>
        </w:tc>
        <w:tc>
          <w:tcPr>
            <w:tcW w:w="1897"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区联席会议办公室</w:t>
            </w:r>
          </w:p>
        </w:tc>
        <w:tc>
          <w:tcPr>
            <w:tcW w:w="199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区监察局</w:t>
            </w:r>
          </w:p>
        </w:tc>
        <w:tc>
          <w:tcPr>
            <w:tcW w:w="74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 xml:space="preserve">　</w:t>
            </w:r>
          </w:p>
        </w:tc>
      </w:tr>
      <w:tr w:rsidR="000F7E38" w:rsidRPr="007F4CDC" w:rsidTr="003328B7">
        <w:trPr>
          <w:trHeight w:val="567"/>
        </w:trPr>
        <w:tc>
          <w:tcPr>
            <w:tcW w:w="15482" w:type="dxa"/>
            <w:gridSpan w:val="8"/>
            <w:shd w:val="clear" w:color="auto" w:fill="auto"/>
            <w:noWrap/>
            <w:vAlign w:val="center"/>
            <w:hideMark/>
          </w:tcPr>
          <w:p w:rsidR="000F7E38" w:rsidRPr="007F4CDC" w:rsidRDefault="000F7E38" w:rsidP="003328B7">
            <w:pPr>
              <w:widowControl/>
              <w:spacing w:line="280" w:lineRule="exact"/>
              <w:jc w:val="left"/>
              <w:rPr>
                <w:rFonts w:ascii="仿宋_GB2312" w:hAnsi="黑体" w:cs="Calibri" w:hint="eastAsia"/>
                <w:b/>
                <w:bCs/>
                <w:kern w:val="0"/>
                <w:sz w:val="21"/>
                <w:szCs w:val="21"/>
                <w:lang w:eastAsia="zh-CN"/>
              </w:rPr>
            </w:pPr>
            <w:r w:rsidRPr="007F4CDC">
              <w:rPr>
                <w:rFonts w:ascii="仿宋_GB2312" w:hAnsi="黑体" w:cs="Calibri" w:hint="eastAsia"/>
                <w:b/>
                <w:bCs/>
                <w:kern w:val="0"/>
                <w:sz w:val="21"/>
                <w:szCs w:val="21"/>
                <w:lang w:eastAsia="zh-CN"/>
              </w:rPr>
              <w:lastRenderedPageBreak/>
              <w:t>（二）拓宽工作思路，推动物业行业转型创新发展</w:t>
            </w:r>
          </w:p>
        </w:tc>
      </w:tr>
      <w:tr w:rsidR="000F7E38" w:rsidRPr="007F4CDC" w:rsidTr="003328B7">
        <w:trPr>
          <w:trHeight w:val="567"/>
        </w:trPr>
        <w:tc>
          <w:tcPr>
            <w:tcW w:w="662" w:type="dxa"/>
            <w:shd w:val="clear" w:color="auto" w:fill="auto"/>
            <w:noWrap/>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11</w:t>
            </w:r>
          </w:p>
        </w:tc>
        <w:tc>
          <w:tcPr>
            <w:tcW w:w="2249" w:type="dxa"/>
            <w:vMerge w:val="restart"/>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加强行业监管</w:t>
            </w:r>
          </w:p>
        </w:tc>
        <w:tc>
          <w:tcPr>
            <w:tcW w:w="4940" w:type="dxa"/>
            <w:shd w:val="clear" w:color="auto" w:fill="auto"/>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加强企业资质管理、从业人员资格管理</w:t>
            </w:r>
          </w:p>
        </w:tc>
        <w:tc>
          <w:tcPr>
            <w:tcW w:w="1368"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2015-2017</w:t>
            </w:r>
          </w:p>
        </w:tc>
        <w:tc>
          <w:tcPr>
            <w:tcW w:w="163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区房管局</w:t>
            </w:r>
          </w:p>
        </w:tc>
        <w:tc>
          <w:tcPr>
            <w:tcW w:w="1897"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区房管局</w:t>
            </w:r>
          </w:p>
        </w:tc>
        <w:tc>
          <w:tcPr>
            <w:tcW w:w="199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区房管局</w:t>
            </w:r>
          </w:p>
        </w:tc>
        <w:tc>
          <w:tcPr>
            <w:tcW w:w="742" w:type="dxa"/>
            <w:shd w:val="clear" w:color="auto" w:fill="auto"/>
            <w:noWrap/>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 xml:space="preserve">　</w:t>
            </w:r>
          </w:p>
        </w:tc>
      </w:tr>
      <w:tr w:rsidR="000F7E38" w:rsidRPr="007F4CDC" w:rsidTr="003328B7">
        <w:trPr>
          <w:trHeight w:val="567"/>
        </w:trPr>
        <w:tc>
          <w:tcPr>
            <w:tcW w:w="662" w:type="dxa"/>
            <w:shd w:val="clear" w:color="auto" w:fill="auto"/>
            <w:noWrap/>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12</w:t>
            </w:r>
          </w:p>
        </w:tc>
        <w:tc>
          <w:tcPr>
            <w:tcW w:w="2249" w:type="dxa"/>
            <w:vMerge/>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p>
        </w:tc>
        <w:tc>
          <w:tcPr>
            <w:tcW w:w="4940" w:type="dxa"/>
            <w:shd w:val="clear" w:color="auto" w:fill="auto"/>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加强物业服务企业和小区经理信用档案管理</w:t>
            </w:r>
          </w:p>
        </w:tc>
        <w:tc>
          <w:tcPr>
            <w:tcW w:w="1368"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2015-2017</w:t>
            </w:r>
          </w:p>
        </w:tc>
        <w:tc>
          <w:tcPr>
            <w:tcW w:w="163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区房管局</w:t>
            </w:r>
          </w:p>
        </w:tc>
        <w:tc>
          <w:tcPr>
            <w:tcW w:w="1897"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区房管局</w:t>
            </w:r>
          </w:p>
        </w:tc>
        <w:tc>
          <w:tcPr>
            <w:tcW w:w="199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区房管局</w:t>
            </w:r>
          </w:p>
        </w:tc>
        <w:tc>
          <w:tcPr>
            <w:tcW w:w="742" w:type="dxa"/>
            <w:shd w:val="clear" w:color="auto" w:fill="auto"/>
            <w:noWrap/>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 xml:space="preserve">　</w:t>
            </w:r>
          </w:p>
        </w:tc>
      </w:tr>
      <w:tr w:rsidR="000F7E38" w:rsidRPr="007F4CDC" w:rsidTr="003328B7">
        <w:trPr>
          <w:trHeight w:val="567"/>
        </w:trPr>
        <w:tc>
          <w:tcPr>
            <w:tcW w:w="662" w:type="dxa"/>
            <w:shd w:val="clear" w:color="auto" w:fill="auto"/>
            <w:noWrap/>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13</w:t>
            </w:r>
          </w:p>
        </w:tc>
        <w:tc>
          <w:tcPr>
            <w:tcW w:w="2249" w:type="dxa"/>
            <w:vMerge/>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p>
        </w:tc>
        <w:tc>
          <w:tcPr>
            <w:tcW w:w="4940" w:type="dxa"/>
            <w:shd w:val="clear" w:color="auto" w:fill="auto"/>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加大物业招投标工作管理力度</w:t>
            </w:r>
          </w:p>
        </w:tc>
        <w:tc>
          <w:tcPr>
            <w:tcW w:w="1368"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2015-2017</w:t>
            </w:r>
          </w:p>
        </w:tc>
        <w:tc>
          <w:tcPr>
            <w:tcW w:w="163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区房管局</w:t>
            </w:r>
          </w:p>
        </w:tc>
        <w:tc>
          <w:tcPr>
            <w:tcW w:w="1897"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区房管局</w:t>
            </w:r>
          </w:p>
        </w:tc>
        <w:tc>
          <w:tcPr>
            <w:tcW w:w="199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区房管局</w:t>
            </w:r>
          </w:p>
        </w:tc>
        <w:tc>
          <w:tcPr>
            <w:tcW w:w="742" w:type="dxa"/>
            <w:shd w:val="clear" w:color="auto" w:fill="auto"/>
            <w:noWrap/>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 xml:space="preserve">　</w:t>
            </w:r>
          </w:p>
        </w:tc>
      </w:tr>
      <w:tr w:rsidR="000F7E38" w:rsidRPr="007F4CDC" w:rsidTr="003328B7">
        <w:trPr>
          <w:trHeight w:val="567"/>
        </w:trPr>
        <w:tc>
          <w:tcPr>
            <w:tcW w:w="662" w:type="dxa"/>
            <w:shd w:val="clear" w:color="auto" w:fill="auto"/>
            <w:noWrap/>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14</w:t>
            </w:r>
          </w:p>
        </w:tc>
        <w:tc>
          <w:tcPr>
            <w:tcW w:w="2249" w:type="dxa"/>
            <w:vMerge w:val="restart"/>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实施政府扶持</w:t>
            </w:r>
          </w:p>
        </w:tc>
        <w:tc>
          <w:tcPr>
            <w:tcW w:w="4940" w:type="dxa"/>
            <w:shd w:val="clear" w:color="auto" w:fill="auto"/>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完善考核达标奖励补贴政策</w:t>
            </w:r>
          </w:p>
        </w:tc>
        <w:tc>
          <w:tcPr>
            <w:tcW w:w="1368"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2015-2017</w:t>
            </w:r>
          </w:p>
        </w:tc>
        <w:tc>
          <w:tcPr>
            <w:tcW w:w="163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区房管局</w:t>
            </w:r>
          </w:p>
        </w:tc>
        <w:tc>
          <w:tcPr>
            <w:tcW w:w="1897"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区财政局、区社区办、各街道镇</w:t>
            </w:r>
          </w:p>
        </w:tc>
        <w:tc>
          <w:tcPr>
            <w:tcW w:w="199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区房管局、各街道镇</w:t>
            </w:r>
          </w:p>
        </w:tc>
        <w:tc>
          <w:tcPr>
            <w:tcW w:w="742" w:type="dxa"/>
            <w:shd w:val="clear" w:color="auto" w:fill="auto"/>
            <w:noWrap/>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 xml:space="preserve">　</w:t>
            </w:r>
          </w:p>
        </w:tc>
      </w:tr>
      <w:tr w:rsidR="000F7E38" w:rsidRPr="007F4CDC" w:rsidTr="003328B7">
        <w:trPr>
          <w:trHeight w:val="567"/>
        </w:trPr>
        <w:tc>
          <w:tcPr>
            <w:tcW w:w="662" w:type="dxa"/>
            <w:shd w:val="clear" w:color="auto" w:fill="auto"/>
            <w:noWrap/>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15</w:t>
            </w:r>
          </w:p>
        </w:tc>
        <w:tc>
          <w:tcPr>
            <w:tcW w:w="2249" w:type="dxa"/>
            <w:vMerge/>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p>
        </w:tc>
        <w:tc>
          <w:tcPr>
            <w:tcW w:w="4940" w:type="dxa"/>
            <w:shd w:val="clear" w:color="auto" w:fill="auto"/>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引导有条件的小区采用“酬金制”物业服务计费方式；引导业主大会和物业服务企业协商确定物业服务费收取标准</w:t>
            </w:r>
          </w:p>
        </w:tc>
        <w:tc>
          <w:tcPr>
            <w:tcW w:w="1368"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2015-2017</w:t>
            </w:r>
          </w:p>
        </w:tc>
        <w:tc>
          <w:tcPr>
            <w:tcW w:w="163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区房管局</w:t>
            </w:r>
          </w:p>
        </w:tc>
        <w:tc>
          <w:tcPr>
            <w:tcW w:w="1897"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区发改委（物价局）、区税务局、区市场监管局、各街道镇</w:t>
            </w:r>
          </w:p>
        </w:tc>
        <w:tc>
          <w:tcPr>
            <w:tcW w:w="199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区房管局、各街道镇</w:t>
            </w:r>
          </w:p>
        </w:tc>
        <w:tc>
          <w:tcPr>
            <w:tcW w:w="742" w:type="dxa"/>
            <w:shd w:val="clear" w:color="auto" w:fill="auto"/>
            <w:noWrap/>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 xml:space="preserve">　</w:t>
            </w:r>
          </w:p>
        </w:tc>
      </w:tr>
      <w:tr w:rsidR="000F7E38" w:rsidRPr="007F4CDC" w:rsidTr="003328B7">
        <w:trPr>
          <w:trHeight w:val="567"/>
        </w:trPr>
        <w:tc>
          <w:tcPr>
            <w:tcW w:w="662" w:type="dxa"/>
            <w:shd w:val="clear" w:color="auto" w:fill="auto"/>
            <w:noWrap/>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16</w:t>
            </w:r>
          </w:p>
        </w:tc>
        <w:tc>
          <w:tcPr>
            <w:tcW w:w="2249"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探索物业管理的增值服务新业态</w:t>
            </w:r>
          </w:p>
        </w:tc>
        <w:tc>
          <w:tcPr>
            <w:tcW w:w="4940" w:type="dxa"/>
            <w:shd w:val="clear" w:color="auto" w:fill="auto"/>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鼓励引导物业服务企业从满足居民个性化需求出发，探索多元发展新模式，满足居民“最后一公里”的生活需求</w:t>
            </w:r>
          </w:p>
        </w:tc>
        <w:tc>
          <w:tcPr>
            <w:tcW w:w="1368"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2015-2017</w:t>
            </w:r>
          </w:p>
        </w:tc>
        <w:tc>
          <w:tcPr>
            <w:tcW w:w="163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区房管局</w:t>
            </w:r>
          </w:p>
        </w:tc>
        <w:tc>
          <w:tcPr>
            <w:tcW w:w="1897"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各街道镇、西部集团</w:t>
            </w:r>
          </w:p>
        </w:tc>
        <w:tc>
          <w:tcPr>
            <w:tcW w:w="199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各街道镇、西部集团</w:t>
            </w:r>
          </w:p>
        </w:tc>
        <w:tc>
          <w:tcPr>
            <w:tcW w:w="742" w:type="dxa"/>
            <w:shd w:val="clear" w:color="auto" w:fill="auto"/>
            <w:noWrap/>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 xml:space="preserve">　</w:t>
            </w:r>
          </w:p>
        </w:tc>
      </w:tr>
      <w:tr w:rsidR="000F7E38" w:rsidRPr="007F4CDC" w:rsidTr="003328B7">
        <w:trPr>
          <w:trHeight w:val="567"/>
        </w:trPr>
        <w:tc>
          <w:tcPr>
            <w:tcW w:w="15482" w:type="dxa"/>
            <w:gridSpan w:val="8"/>
            <w:shd w:val="clear" w:color="auto" w:fill="auto"/>
            <w:vAlign w:val="center"/>
            <w:hideMark/>
          </w:tcPr>
          <w:p w:rsidR="000F7E38" w:rsidRPr="007F4CDC" w:rsidRDefault="000F7E38" w:rsidP="003328B7">
            <w:pPr>
              <w:widowControl/>
              <w:spacing w:line="280" w:lineRule="exact"/>
              <w:jc w:val="left"/>
              <w:rPr>
                <w:rFonts w:ascii="仿宋_GB2312" w:hAnsi="黑体" w:cs="Calibri" w:hint="eastAsia"/>
                <w:b/>
                <w:bCs/>
                <w:kern w:val="0"/>
                <w:sz w:val="21"/>
                <w:szCs w:val="21"/>
                <w:lang w:eastAsia="zh-CN"/>
              </w:rPr>
            </w:pPr>
            <w:r w:rsidRPr="007F4CDC">
              <w:rPr>
                <w:rFonts w:ascii="仿宋_GB2312" w:hAnsi="黑体" w:cs="Calibri" w:hint="eastAsia"/>
                <w:b/>
                <w:bCs/>
                <w:kern w:val="0"/>
                <w:sz w:val="21"/>
                <w:szCs w:val="21"/>
                <w:lang w:eastAsia="zh-CN"/>
              </w:rPr>
              <w:t>（三）强化居民自治和社区共治，提升住宅小区综合治理能力</w:t>
            </w:r>
          </w:p>
        </w:tc>
      </w:tr>
      <w:tr w:rsidR="000F7E38" w:rsidRPr="007F4CDC" w:rsidTr="003328B7">
        <w:trPr>
          <w:trHeight w:val="567"/>
        </w:trPr>
        <w:tc>
          <w:tcPr>
            <w:tcW w:w="66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17</w:t>
            </w:r>
          </w:p>
        </w:tc>
        <w:tc>
          <w:tcPr>
            <w:tcW w:w="2249"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突出居民区党组织在居民区联席会议的领导地位</w:t>
            </w:r>
          </w:p>
        </w:tc>
        <w:tc>
          <w:tcPr>
            <w:tcW w:w="4940" w:type="dxa"/>
            <w:shd w:val="clear" w:color="auto" w:fill="auto"/>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以居民区党组织为核心，做实小区层面的联席会议，建立居民区综合治理工作机制，定期召开居民区综合管理联席会议</w:t>
            </w:r>
          </w:p>
        </w:tc>
        <w:tc>
          <w:tcPr>
            <w:tcW w:w="1368"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2015.9</w:t>
            </w:r>
          </w:p>
        </w:tc>
        <w:tc>
          <w:tcPr>
            <w:tcW w:w="163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各街道镇</w:t>
            </w:r>
          </w:p>
        </w:tc>
        <w:tc>
          <w:tcPr>
            <w:tcW w:w="1897"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各街道镇</w:t>
            </w:r>
          </w:p>
        </w:tc>
        <w:tc>
          <w:tcPr>
            <w:tcW w:w="199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各街道镇</w:t>
            </w:r>
          </w:p>
        </w:tc>
        <w:tc>
          <w:tcPr>
            <w:tcW w:w="742" w:type="dxa"/>
            <w:shd w:val="clear" w:color="auto" w:fill="auto"/>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 xml:space="preserve">　</w:t>
            </w:r>
          </w:p>
        </w:tc>
      </w:tr>
      <w:tr w:rsidR="000F7E38" w:rsidRPr="007F4CDC" w:rsidTr="003328B7">
        <w:trPr>
          <w:trHeight w:val="567"/>
        </w:trPr>
        <w:tc>
          <w:tcPr>
            <w:tcW w:w="66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18</w:t>
            </w:r>
          </w:p>
        </w:tc>
        <w:tc>
          <w:tcPr>
            <w:tcW w:w="2249" w:type="dxa"/>
            <w:vMerge w:val="restart"/>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强化居民委员会在社区共治中的核心地位</w:t>
            </w:r>
          </w:p>
        </w:tc>
        <w:tc>
          <w:tcPr>
            <w:tcW w:w="4940" w:type="dxa"/>
            <w:shd w:val="clear" w:color="auto" w:fill="auto"/>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强化居民委员会对业主大会、业主委员会组建、换届改选、日常运作的指导</w:t>
            </w:r>
          </w:p>
        </w:tc>
        <w:tc>
          <w:tcPr>
            <w:tcW w:w="1368"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2015-2017</w:t>
            </w:r>
          </w:p>
        </w:tc>
        <w:tc>
          <w:tcPr>
            <w:tcW w:w="163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区民政局</w:t>
            </w:r>
          </w:p>
        </w:tc>
        <w:tc>
          <w:tcPr>
            <w:tcW w:w="1897"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区房管局、各街道镇</w:t>
            </w:r>
          </w:p>
        </w:tc>
        <w:tc>
          <w:tcPr>
            <w:tcW w:w="199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各街道镇</w:t>
            </w:r>
          </w:p>
        </w:tc>
        <w:tc>
          <w:tcPr>
            <w:tcW w:w="742" w:type="dxa"/>
            <w:shd w:val="clear" w:color="auto" w:fill="auto"/>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 xml:space="preserve">　</w:t>
            </w:r>
          </w:p>
        </w:tc>
      </w:tr>
      <w:tr w:rsidR="000F7E38" w:rsidRPr="007F4CDC" w:rsidTr="003328B7">
        <w:trPr>
          <w:trHeight w:val="567"/>
        </w:trPr>
        <w:tc>
          <w:tcPr>
            <w:tcW w:w="66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19</w:t>
            </w:r>
          </w:p>
        </w:tc>
        <w:tc>
          <w:tcPr>
            <w:tcW w:w="2249" w:type="dxa"/>
            <w:vMerge/>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p>
        </w:tc>
        <w:tc>
          <w:tcPr>
            <w:tcW w:w="4940" w:type="dxa"/>
            <w:shd w:val="clear" w:color="auto" w:fill="auto"/>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推进符合条件的居民委员会成员依法兼任业主委员会成员</w:t>
            </w:r>
          </w:p>
        </w:tc>
        <w:tc>
          <w:tcPr>
            <w:tcW w:w="1368"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2015-2017</w:t>
            </w:r>
          </w:p>
        </w:tc>
        <w:tc>
          <w:tcPr>
            <w:tcW w:w="163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区房管局、区民政局</w:t>
            </w:r>
          </w:p>
        </w:tc>
        <w:tc>
          <w:tcPr>
            <w:tcW w:w="1897"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各街道镇</w:t>
            </w:r>
          </w:p>
        </w:tc>
        <w:tc>
          <w:tcPr>
            <w:tcW w:w="199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各街道镇</w:t>
            </w:r>
          </w:p>
        </w:tc>
        <w:tc>
          <w:tcPr>
            <w:tcW w:w="742" w:type="dxa"/>
            <w:shd w:val="clear" w:color="auto" w:fill="auto"/>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 xml:space="preserve">　</w:t>
            </w:r>
          </w:p>
        </w:tc>
      </w:tr>
      <w:tr w:rsidR="000F7E38" w:rsidRPr="007F4CDC" w:rsidTr="003328B7">
        <w:trPr>
          <w:trHeight w:val="567"/>
        </w:trPr>
        <w:tc>
          <w:tcPr>
            <w:tcW w:w="66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20</w:t>
            </w:r>
          </w:p>
        </w:tc>
        <w:tc>
          <w:tcPr>
            <w:tcW w:w="2249"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建立居民自治新平台</w:t>
            </w:r>
          </w:p>
        </w:tc>
        <w:tc>
          <w:tcPr>
            <w:tcW w:w="4940" w:type="dxa"/>
            <w:shd w:val="clear" w:color="auto" w:fill="auto"/>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推行民主自治管理，建立自治家园理事会等平台，借助新媒体网络，加强“三位一体”沟通协商</w:t>
            </w:r>
          </w:p>
        </w:tc>
        <w:tc>
          <w:tcPr>
            <w:tcW w:w="1368"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2015-2017</w:t>
            </w:r>
          </w:p>
        </w:tc>
        <w:tc>
          <w:tcPr>
            <w:tcW w:w="163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区民政局</w:t>
            </w:r>
          </w:p>
        </w:tc>
        <w:tc>
          <w:tcPr>
            <w:tcW w:w="1897"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各街道镇</w:t>
            </w:r>
          </w:p>
        </w:tc>
        <w:tc>
          <w:tcPr>
            <w:tcW w:w="199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各街道镇</w:t>
            </w:r>
          </w:p>
        </w:tc>
        <w:tc>
          <w:tcPr>
            <w:tcW w:w="74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 xml:space="preserve">　</w:t>
            </w:r>
          </w:p>
        </w:tc>
      </w:tr>
      <w:tr w:rsidR="000F7E38" w:rsidRPr="007F4CDC" w:rsidTr="003328B7">
        <w:trPr>
          <w:trHeight w:val="567"/>
        </w:trPr>
        <w:tc>
          <w:tcPr>
            <w:tcW w:w="66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21</w:t>
            </w:r>
          </w:p>
        </w:tc>
        <w:tc>
          <w:tcPr>
            <w:tcW w:w="2249"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规范业主委员会日常运作</w:t>
            </w:r>
          </w:p>
        </w:tc>
        <w:tc>
          <w:tcPr>
            <w:tcW w:w="4940" w:type="dxa"/>
            <w:shd w:val="clear" w:color="auto" w:fill="auto"/>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引导业主完善自我管理，依照示范文本修订小区自治规约，健全日常工作制度</w:t>
            </w:r>
          </w:p>
        </w:tc>
        <w:tc>
          <w:tcPr>
            <w:tcW w:w="1368"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2015-2017</w:t>
            </w:r>
          </w:p>
        </w:tc>
        <w:tc>
          <w:tcPr>
            <w:tcW w:w="163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区房管局</w:t>
            </w:r>
          </w:p>
        </w:tc>
        <w:tc>
          <w:tcPr>
            <w:tcW w:w="1897"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各街道镇</w:t>
            </w:r>
          </w:p>
        </w:tc>
        <w:tc>
          <w:tcPr>
            <w:tcW w:w="199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各街道镇</w:t>
            </w:r>
          </w:p>
        </w:tc>
        <w:tc>
          <w:tcPr>
            <w:tcW w:w="74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 xml:space="preserve">　</w:t>
            </w:r>
          </w:p>
        </w:tc>
      </w:tr>
      <w:tr w:rsidR="000F7E38" w:rsidRPr="007F4CDC" w:rsidTr="003328B7">
        <w:trPr>
          <w:trHeight w:val="567"/>
        </w:trPr>
        <w:tc>
          <w:tcPr>
            <w:tcW w:w="66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lastRenderedPageBreak/>
              <w:t>22</w:t>
            </w:r>
          </w:p>
        </w:tc>
        <w:tc>
          <w:tcPr>
            <w:tcW w:w="2249" w:type="dxa"/>
            <w:vMerge w:val="restart"/>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完善教育培训长效机制</w:t>
            </w:r>
          </w:p>
        </w:tc>
        <w:tc>
          <w:tcPr>
            <w:tcW w:w="4940" w:type="dxa"/>
            <w:shd w:val="clear" w:color="auto" w:fill="auto"/>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区房管局开展对街道镇管理人员、房管办行政管理人员、居民委员会工作人员、业主委员会成员和物业服务企业从业人员的专业培训</w:t>
            </w:r>
          </w:p>
        </w:tc>
        <w:tc>
          <w:tcPr>
            <w:tcW w:w="1368"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2015-2017</w:t>
            </w:r>
          </w:p>
        </w:tc>
        <w:tc>
          <w:tcPr>
            <w:tcW w:w="1632" w:type="dxa"/>
            <w:shd w:val="clear" w:color="auto" w:fill="auto"/>
            <w:noWrap/>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区房管局</w:t>
            </w:r>
          </w:p>
        </w:tc>
        <w:tc>
          <w:tcPr>
            <w:tcW w:w="1897"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各街道镇</w:t>
            </w:r>
          </w:p>
        </w:tc>
        <w:tc>
          <w:tcPr>
            <w:tcW w:w="199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区房管局、各街道镇</w:t>
            </w:r>
          </w:p>
        </w:tc>
        <w:tc>
          <w:tcPr>
            <w:tcW w:w="74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 xml:space="preserve">　</w:t>
            </w:r>
          </w:p>
        </w:tc>
      </w:tr>
      <w:tr w:rsidR="000F7E38" w:rsidRPr="007F4CDC" w:rsidTr="003328B7">
        <w:trPr>
          <w:trHeight w:val="567"/>
        </w:trPr>
        <w:tc>
          <w:tcPr>
            <w:tcW w:w="66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23</w:t>
            </w:r>
          </w:p>
        </w:tc>
        <w:tc>
          <w:tcPr>
            <w:tcW w:w="2249" w:type="dxa"/>
            <w:vMerge/>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p>
        </w:tc>
        <w:tc>
          <w:tcPr>
            <w:tcW w:w="4940" w:type="dxa"/>
            <w:shd w:val="clear" w:color="auto" w:fill="auto"/>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各职能部门结合小区综合管理职责，制定并落实具体培训方案、计划，加强专业培训</w:t>
            </w:r>
          </w:p>
        </w:tc>
        <w:tc>
          <w:tcPr>
            <w:tcW w:w="1368"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2015-2017</w:t>
            </w:r>
          </w:p>
        </w:tc>
        <w:tc>
          <w:tcPr>
            <w:tcW w:w="163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区联席会议办公室</w:t>
            </w:r>
          </w:p>
        </w:tc>
        <w:tc>
          <w:tcPr>
            <w:tcW w:w="1897"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区绿化市容局、区市场监管局、区公安分局、区消防支队等有关部门</w:t>
            </w:r>
          </w:p>
        </w:tc>
        <w:tc>
          <w:tcPr>
            <w:tcW w:w="199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区绿化市容局、区市场监管局、区公安分局、区消防支队等有关部门</w:t>
            </w:r>
          </w:p>
        </w:tc>
        <w:tc>
          <w:tcPr>
            <w:tcW w:w="74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 xml:space="preserve">　</w:t>
            </w:r>
          </w:p>
        </w:tc>
      </w:tr>
      <w:tr w:rsidR="000F7E38" w:rsidRPr="007F4CDC" w:rsidTr="003328B7">
        <w:trPr>
          <w:trHeight w:val="567"/>
        </w:trPr>
        <w:tc>
          <w:tcPr>
            <w:tcW w:w="66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24</w:t>
            </w:r>
          </w:p>
        </w:tc>
        <w:tc>
          <w:tcPr>
            <w:tcW w:w="2249"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规范物业使用和文明居住行为</w:t>
            </w:r>
          </w:p>
        </w:tc>
        <w:tc>
          <w:tcPr>
            <w:tcW w:w="4940" w:type="dxa"/>
            <w:shd w:val="clear" w:color="auto" w:fill="auto"/>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推进实施《上海市文明居住行为规范》，积极培育和倡导文明居住意识</w:t>
            </w:r>
          </w:p>
        </w:tc>
        <w:tc>
          <w:tcPr>
            <w:tcW w:w="1368"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2015-2017</w:t>
            </w:r>
          </w:p>
        </w:tc>
        <w:tc>
          <w:tcPr>
            <w:tcW w:w="163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区文明办</w:t>
            </w:r>
          </w:p>
        </w:tc>
        <w:tc>
          <w:tcPr>
            <w:tcW w:w="1897"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区建管委、区房管局、区教育局、各街道镇</w:t>
            </w:r>
          </w:p>
        </w:tc>
        <w:tc>
          <w:tcPr>
            <w:tcW w:w="199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各街道镇</w:t>
            </w:r>
          </w:p>
        </w:tc>
        <w:tc>
          <w:tcPr>
            <w:tcW w:w="74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 xml:space="preserve">　</w:t>
            </w:r>
          </w:p>
        </w:tc>
      </w:tr>
      <w:tr w:rsidR="000F7E38" w:rsidRPr="007F4CDC" w:rsidTr="003328B7">
        <w:trPr>
          <w:trHeight w:val="567"/>
        </w:trPr>
        <w:tc>
          <w:tcPr>
            <w:tcW w:w="66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25</w:t>
            </w:r>
          </w:p>
        </w:tc>
        <w:tc>
          <w:tcPr>
            <w:tcW w:w="2249"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实施居住领域信用管理制度</w:t>
            </w:r>
          </w:p>
        </w:tc>
        <w:tc>
          <w:tcPr>
            <w:tcW w:w="4940" w:type="dxa"/>
            <w:shd w:val="clear" w:color="auto" w:fill="auto"/>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将住宅小区内相关违法违规行为纳入本市公共信用信息服务平台</w:t>
            </w:r>
          </w:p>
        </w:tc>
        <w:tc>
          <w:tcPr>
            <w:tcW w:w="1368"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2015-2017</w:t>
            </w:r>
          </w:p>
        </w:tc>
        <w:tc>
          <w:tcPr>
            <w:tcW w:w="163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区规土局、区城市管理行政执法局、区房管局</w:t>
            </w:r>
          </w:p>
        </w:tc>
        <w:tc>
          <w:tcPr>
            <w:tcW w:w="1897"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区规土局、区城市管理行政执法局、区房管局</w:t>
            </w:r>
          </w:p>
        </w:tc>
        <w:tc>
          <w:tcPr>
            <w:tcW w:w="199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区规土局、区城市管理行政执法局、区房管局</w:t>
            </w:r>
          </w:p>
        </w:tc>
        <w:tc>
          <w:tcPr>
            <w:tcW w:w="74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 xml:space="preserve">　</w:t>
            </w:r>
          </w:p>
        </w:tc>
      </w:tr>
      <w:tr w:rsidR="000F7E38" w:rsidRPr="007F4CDC" w:rsidTr="003328B7">
        <w:trPr>
          <w:trHeight w:val="567"/>
        </w:trPr>
        <w:tc>
          <w:tcPr>
            <w:tcW w:w="66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26</w:t>
            </w:r>
          </w:p>
        </w:tc>
        <w:tc>
          <w:tcPr>
            <w:tcW w:w="2249"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充分发挥人民调解作用</w:t>
            </w:r>
          </w:p>
        </w:tc>
        <w:tc>
          <w:tcPr>
            <w:tcW w:w="4940" w:type="dxa"/>
            <w:shd w:val="clear" w:color="auto" w:fill="auto"/>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健全街道镇、居民区两级调解网络，发挥人民调解委员会在物业管理纠纷调解工作中的作用</w:t>
            </w:r>
          </w:p>
        </w:tc>
        <w:tc>
          <w:tcPr>
            <w:tcW w:w="1368"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2015-2017</w:t>
            </w:r>
          </w:p>
        </w:tc>
        <w:tc>
          <w:tcPr>
            <w:tcW w:w="163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区司法局</w:t>
            </w:r>
          </w:p>
        </w:tc>
        <w:tc>
          <w:tcPr>
            <w:tcW w:w="1897"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区房管局、各街道镇</w:t>
            </w:r>
          </w:p>
        </w:tc>
        <w:tc>
          <w:tcPr>
            <w:tcW w:w="199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各街道镇</w:t>
            </w:r>
          </w:p>
        </w:tc>
        <w:tc>
          <w:tcPr>
            <w:tcW w:w="74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 xml:space="preserve">　</w:t>
            </w:r>
          </w:p>
        </w:tc>
      </w:tr>
      <w:tr w:rsidR="000F7E38" w:rsidRPr="007F4CDC" w:rsidTr="003328B7">
        <w:trPr>
          <w:trHeight w:val="567"/>
        </w:trPr>
        <w:tc>
          <w:tcPr>
            <w:tcW w:w="66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27</w:t>
            </w:r>
          </w:p>
        </w:tc>
        <w:tc>
          <w:tcPr>
            <w:tcW w:w="2249" w:type="dxa"/>
            <w:shd w:val="clear" w:color="auto" w:fill="auto"/>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鼓励专业中介机构提供小区专业事务服务</w:t>
            </w:r>
          </w:p>
        </w:tc>
        <w:tc>
          <w:tcPr>
            <w:tcW w:w="4940" w:type="dxa"/>
            <w:shd w:val="clear" w:color="auto" w:fill="auto"/>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通过政府购买服务的方式，引导社会中介机构参与住宅小区管理，提供专业服务</w:t>
            </w:r>
          </w:p>
        </w:tc>
        <w:tc>
          <w:tcPr>
            <w:tcW w:w="1368"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2015-2017</w:t>
            </w:r>
          </w:p>
        </w:tc>
        <w:tc>
          <w:tcPr>
            <w:tcW w:w="163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各街道镇</w:t>
            </w:r>
          </w:p>
        </w:tc>
        <w:tc>
          <w:tcPr>
            <w:tcW w:w="1897"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区财政局、区房管局</w:t>
            </w:r>
          </w:p>
        </w:tc>
        <w:tc>
          <w:tcPr>
            <w:tcW w:w="199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各街道镇</w:t>
            </w:r>
          </w:p>
        </w:tc>
        <w:tc>
          <w:tcPr>
            <w:tcW w:w="74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 xml:space="preserve">　</w:t>
            </w:r>
          </w:p>
        </w:tc>
      </w:tr>
      <w:tr w:rsidR="000F7E38" w:rsidRPr="007F4CDC" w:rsidTr="003328B7">
        <w:trPr>
          <w:trHeight w:val="567"/>
        </w:trPr>
        <w:tc>
          <w:tcPr>
            <w:tcW w:w="15482" w:type="dxa"/>
            <w:gridSpan w:val="8"/>
            <w:shd w:val="clear" w:color="auto" w:fill="auto"/>
            <w:vAlign w:val="center"/>
            <w:hideMark/>
          </w:tcPr>
          <w:p w:rsidR="000F7E38" w:rsidRPr="007F4CDC" w:rsidRDefault="000F7E38" w:rsidP="003328B7">
            <w:pPr>
              <w:widowControl/>
              <w:spacing w:line="280" w:lineRule="exact"/>
              <w:jc w:val="left"/>
              <w:rPr>
                <w:rFonts w:ascii="仿宋_GB2312" w:hAnsi="黑体" w:cs="Calibri" w:hint="eastAsia"/>
                <w:b/>
                <w:bCs/>
                <w:kern w:val="0"/>
                <w:sz w:val="21"/>
                <w:szCs w:val="21"/>
                <w:lang w:eastAsia="zh-CN"/>
              </w:rPr>
            </w:pPr>
            <w:r w:rsidRPr="007F4CDC">
              <w:rPr>
                <w:rFonts w:ascii="仿宋_GB2312" w:hAnsi="黑体" w:cs="Calibri" w:hint="eastAsia"/>
                <w:b/>
                <w:bCs/>
                <w:kern w:val="0"/>
                <w:sz w:val="21"/>
                <w:szCs w:val="21"/>
                <w:lang w:eastAsia="zh-CN"/>
              </w:rPr>
              <w:t>（四）整合各方资源，解决住宅小区民生突出问题</w:t>
            </w:r>
          </w:p>
        </w:tc>
      </w:tr>
      <w:tr w:rsidR="000F7E38" w:rsidRPr="007F4CDC" w:rsidTr="003328B7">
        <w:trPr>
          <w:trHeight w:val="567"/>
        </w:trPr>
        <w:tc>
          <w:tcPr>
            <w:tcW w:w="66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28</w:t>
            </w:r>
          </w:p>
        </w:tc>
        <w:tc>
          <w:tcPr>
            <w:tcW w:w="2249" w:type="dxa"/>
            <w:vMerge w:val="restart"/>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推进住宅小区综合整治修缮及设施设备专项改造</w:t>
            </w:r>
          </w:p>
        </w:tc>
        <w:tc>
          <w:tcPr>
            <w:tcW w:w="4940" w:type="dxa"/>
            <w:shd w:val="clear" w:color="auto" w:fill="auto"/>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每年按计划推进实施屋面及相关设施改造，推进对非成套住宅的改造</w:t>
            </w:r>
          </w:p>
        </w:tc>
        <w:tc>
          <w:tcPr>
            <w:tcW w:w="1368"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2015-2017</w:t>
            </w:r>
          </w:p>
        </w:tc>
        <w:tc>
          <w:tcPr>
            <w:tcW w:w="163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区房管局</w:t>
            </w:r>
          </w:p>
        </w:tc>
        <w:tc>
          <w:tcPr>
            <w:tcW w:w="1897"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区财政局、各街道镇、西部集团</w:t>
            </w:r>
          </w:p>
        </w:tc>
        <w:tc>
          <w:tcPr>
            <w:tcW w:w="199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区房管局</w:t>
            </w:r>
          </w:p>
        </w:tc>
        <w:tc>
          <w:tcPr>
            <w:tcW w:w="74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 xml:space="preserve">　</w:t>
            </w:r>
          </w:p>
        </w:tc>
      </w:tr>
      <w:tr w:rsidR="000F7E38" w:rsidRPr="007F4CDC" w:rsidTr="003328B7">
        <w:trPr>
          <w:trHeight w:val="567"/>
        </w:trPr>
        <w:tc>
          <w:tcPr>
            <w:tcW w:w="66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29</w:t>
            </w:r>
          </w:p>
        </w:tc>
        <w:tc>
          <w:tcPr>
            <w:tcW w:w="2249" w:type="dxa"/>
            <w:vMerge/>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p>
        </w:tc>
        <w:tc>
          <w:tcPr>
            <w:tcW w:w="4940" w:type="dxa"/>
            <w:shd w:val="clear" w:color="auto" w:fill="auto"/>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推进本区住宅小区电能计量表前供电设施更新改造</w:t>
            </w:r>
          </w:p>
        </w:tc>
        <w:tc>
          <w:tcPr>
            <w:tcW w:w="1368"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2015-2017</w:t>
            </w:r>
          </w:p>
        </w:tc>
        <w:tc>
          <w:tcPr>
            <w:tcW w:w="163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区房管局、市北供电公司</w:t>
            </w:r>
          </w:p>
        </w:tc>
        <w:tc>
          <w:tcPr>
            <w:tcW w:w="1897"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区发改委（物价局）、区建管委、区财政局、各街道镇</w:t>
            </w:r>
          </w:p>
        </w:tc>
        <w:tc>
          <w:tcPr>
            <w:tcW w:w="199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市北供电公司</w:t>
            </w:r>
          </w:p>
        </w:tc>
        <w:tc>
          <w:tcPr>
            <w:tcW w:w="74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 xml:space="preserve">　</w:t>
            </w:r>
          </w:p>
        </w:tc>
      </w:tr>
      <w:tr w:rsidR="000F7E38" w:rsidRPr="007F4CDC" w:rsidTr="003328B7">
        <w:trPr>
          <w:trHeight w:val="567"/>
        </w:trPr>
        <w:tc>
          <w:tcPr>
            <w:tcW w:w="66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30</w:t>
            </w:r>
          </w:p>
        </w:tc>
        <w:tc>
          <w:tcPr>
            <w:tcW w:w="2249" w:type="dxa"/>
            <w:vMerge/>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p>
        </w:tc>
        <w:tc>
          <w:tcPr>
            <w:tcW w:w="4940" w:type="dxa"/>
            <w:shd w:val="clear" w:color="auto" w:fill="auto"/>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推进2000年之前建造的住宅小区二次供水设施改造</w:t>
            </w:r>
          </w:p>
        </w:tc>
        <w:tc>
          <w:tcPr>
            <w:tcW w:w="1368"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2015-2017</w:t>
            </w:r>
          </w:p>
        </w:tc>
        <w:tc>
          <w:tcPr>
            <w:tcW w:w="163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区房管局</w:t>
            </w:r>
          </w:p>
        </w:tc>
        <w:tc>
          <w:tcPr>
            <w:tcW w:w="1897"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区建管委、各街道镇、供水企业</w:t>
            </w:r>
          </w:p>
        </w:tc>
        <w:tc>
          <w:tcPr>
            <w:tcW w:w="199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区房管局、供水企业</w:t>
            </w:r>
          </w:p>
        </w:tc>
        <w:tc>
          <w:tcPr>
            <w:tcW w:w="74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 xml:space="preserve">　</w:t>
            </w:r>
          </w:p>
        </w:tc>
      </w:tr>
      <w:tr w:rsidR="000F7E38" w:rsidRPr="007F4CDC" w:rsidTr="003328B7">
        <w:trPr>
          <w:trHeight w:val="567"/>
        </w:trPr>
        <w:tc>
          <w:tcPr>
            <w:tcW w:w="66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31</w:t>
            </w:r>
          </w:p>
        </w:tc>
        <w:tc>
          <w:tcPr>
            <w:tcW w:w="2249" w:type="dxa"/>
            <w:vMerge/>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p>
        </w:tc>
        <w:tc>
          <w:tcPr>
            <w:tcW w:w="4940" w:type="dxa"/>
            <w:shd w:val="clear" w:color="auto" w:fill="auto"/>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对因小区管道问题造成积水的小区进行全覆盖的排水管网改造</w:t>
            </w:r>
          </w:p>
        </w:tc>
        <w:tc>
          <w:tcPr>
            <w:tcW w:w="1368"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2015-2017</w:t>
            </w:r>
          </w:p>
        </w:tc>
        <w:tc>
          <w:tcPr>
            <w:tcW w:w="163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区房管局</w:t>
            </w:r>
          </w:p>
        </w:tc>
        <w:tc>
          <w:tcPr>
            <w:tcW w:w="1897"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区财政局、各街道镇</w:t>
            </w:r>
          </w:p>
        </w:tc>
        <w:tc>
          <w:tcPr>
            <w:tcW w:w="199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区房管局</w:t>
            </w:r>
          </w:p>
        </w:tc>
        <w:tc>
          <w:tcPr>
            <w:tcW w:w="74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 xml:space="preserve">　</w:t>
            </w:r>
          </w:p>
        </w:tc>
      </w:tr>
      <w:tr w:rsidR="000F7E38" w:rsidRPr="007F4CDC" w:rsidTr="003328B7">
        <w:trPr>
          <w:trHeight w:val="567"/>
        </w:trPr>
        <w:tc>
          <w:tcPr>
            <w:tcW w:w="66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lastRenderedPageBreak/>
              <w:t>32</w:t>
            </w:r>
          </w:p>
        </w:tc>
        <w:tc>
          <w:tcPr>
            <w:tcW w:w="2249" w:type="dxa"/>
            <w:vMerge/>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p>
        </w:tc>
        <w:tc>
          <w:tcPr>
            <w:tcW w:w="4940" w:type="dxa"/>
            <w:shd w:val="clear" w:color="auto" w:fill="auto"/>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对因住宅小区外围市政道路地势和市政管网标高较高引起的倒灌，分步实施市政排水管道等设施改造</w:t>
            </w:r>
          </w:p>
        </w:tc>
        <w:tc>
          <w:tcPr>
            <w:tcW w:w="1368"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2015-2017</w:t>
            </w:r>
          </w:p>
        </w:tc>
        <w:tc>
          <w:tcPr>
            <w:tcW w:w="163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区建管委</w:t>
            </w:r>
          </w:p>
        </w:tc>
        <w:tc>
          <w:tcPr>
            <w:tcW w:w="1897"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区财政局</w:t>
            </w:r>
          </w:p>
        </w:tc>
        <w:tc>
          <w:tcPr>
            <w:tcW w:w="199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区建管委</w:t>
            </w:r>
          </w:p>
        </w:tc>
        <w:tc>
          <w:tcPr>
            <w:tcW w:w="74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 xml:space="preserve">　</w:t>
            </w:r>
          </w:p>
        </w:tc>
      </w:tr>
      <w:tr w:rsidR="000F7E38" w:rsidRPr="007F4CDC" w:rsidTr="003328B7">
        <w:trPr>
          <w:trHeight w:val="567"/>
        </w:trPr>
        <w:tc>
          <w:tcPr>
            <w:tcW w:w="66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33</w:t>
            </w:r>
          </w:p>
        </w:tc>
        <w:tc>
          <w:tcPr>
            <w:tcW w:w="2249" w:type="dxa"/>
            <w:vMerge/>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p>
        </w:tc>
        <w:tc>
          <w:tcPr>
            <w:tcW w:w="4940" w:type="dxa"/>
            <w:shd w:val="clear" w:color="auto" w:fill="auto"/>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 xml:space="preserve">制定并落实易积水小区汛期及台风期间应急排水抢险处置方案 </w:t>
            </w:r>
          </w:p>
        </w:tc>
        <w:tc>
          <w:tcPr>
            <w:tcW w:w="1368"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2015.9</w:t>
            </w:r>
          </w:p>
        </w:tc>
        <w:tc>
          <w:tcPr>
            <w:tcW w:w="163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区建管委</w:t>
            </w:r>
          </w:p>
        </w:tc>
        <w:tc>
          <w:tcPr>
            <w:tcW w:w="1897"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区房管局、区财政局、各街道镇、西部集团</w:t>
            </w:r>
          </w:p>
        </w:tc>
        <w:tc>
          <w:tcPr>
            <w:tcW w:w="199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区建管委</w:t>
            </w:r>
          </w:p>
        </w:tc>
        <w:tc>
          <w:tcPr>
            <w:tcW w:w="74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 xml:space="preserve">　</w:t>
            </w:r>
          </w:p>
        </w:tc>
      </w:tr>
      <w:tr w:rsidR="000F7E38" w:rsidRPr="007F4CDC" w:rsidTr="003328B7">
        <w:trPr>
          <w:trHeight w:val="567"/>
        </w:trPr>
        <w:tc>
          <w:tcPr>
            <w:tcW w:w="66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34</w:t>
            </w:r>
          </w:p>
        </w:tc>
        <w:tc>
          <w:tcPr>
            <w:tcW w:w="2249" w:type="dxa"/>
            <w:vMerge/>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p>
        </w:tc>
        <w:tc>
          <w:tcPr>
            <w:tcW w:w="4940" w:type="dxa"/>
            <w:shd w:val="clear" w:color="auto" w:fill="auto"/>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对住宅小区老旧电梯进行安全评估和改造更新</w:t>
            </w:r>
          </w:p>
        </w:tc>
        <w:tc>
          <w:tcPr>
            <w:tcW w:w="1368"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2015-2017</w:t>
            </w:r>
          </w:p>
        </w:tc>
        <w:tc>
          <w:tcPr>
            <w:tcW w:w="163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区市场监管局</w:t>
            </w:r>
          </w:p>
        </w:tc>
        <w:tc>
          <w:tcPr>
            <w:tcW w:w="1897"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区财政局、区房管局、各街道镇</w:t>
            </w:r>
          </w:p>
        </w:tc>
        <w:tc>
          <w:tcPr>
            <w:tcW w:w="199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区市场监管局</w:t>
            </w:r>
          </w:p>
        </w:tc>
        <w:tc>
          <w:tcPr>
            <w:tcW w:w="74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 xml:space="preserve">　</w:t>
            </w:r>
          </w:p>
        </w:tc>
      </w:tr>
      <w:tr w:rsidR="000F7E38" w:rsidRPr="007F4CDC" w:rsidTr="003328B7">
        <w:trPr>
          <w:trHeight w:val="567"/>
        </w:trPr>
        <w:tc>
          <w:tcPr>
            <w:tcW w:w="66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35</w:t>
            </w:r>
          </w:p>
        </w:tc>
        <w:tc>
          <w:tcPr>
            <w:tcW w:w="2249" w:type="dxa"/>
            <w:vMerge/>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p>
        </w:tc>
        <w:tc>
          <w:tcPr>
            <w:tcW w:w="4940" w:type="dxa"/>
            <w:shd w:val="clear" w:color="auto" w:fill="auto"/>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推进落实住宅小区消防安全整治三年行动计划，加快住宅小区老旧消防设施改造更新</w:t>
            </w:r>
          </w:p>
        </w:tc>
        <w:tc>
          <w:tcPr>
            <w:tcW w:w="1368"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2015-2017</w:t>
            </w:r>
          </w:p>
        </w:tc>
        <w:tc>
          <w:tcPr>
            <w:tcW w:w="1632" w:type="dxa"/>
            <w:shd w:val="clear" w:color="auto" w:fill="auto"/>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区公安分局</w:t>
            </w:r>
          </w:p>
        </w:tc>
        <w:tc>
          <w:tcPr>
            <w:tcW w:w="1897"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区财政局、区房管局、各街道镇</w:t>
            </w:r>
          </w:p>
        </w:tc>
        <w:tc>
          <w:tcPr>
            <w:tcW w:w="199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区公安分局（区消防支队、派出所）、区房管局、各街道镇</w:t>
            </w:r>
          </w:p>
        </w:tc>
        <w:tc>
          <w:tcPr>
            <w:tcW w:w="74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 xml:space="preserve">　</w:t>
            </w:r>
          </w:p>
        </w:tc>
      </w:tr>
      <w:tr w:rsidR="000F7E38" w:rsidRPr="007F4CDC" w:rsidTr="003328B7">
        <w:trPr>
          <w:trHeight w:val="567"/>
        </w:trPr>
        <w:tc>
          <w:tcPr>
            <w:tcW w:w="66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36</w:t>
            </w:r>
          </w:p>
        </w:tc>
        <w:tc>
          <w:tcPr>
            <w:tcW w:w="2249" w:type="dxa"/>
            <w:vMerge w:val="restart"/>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加强物业服务应急处置</w:t>
            </w:r>
          </w:p>
        </w:tc>
        <w:tc>
          <w:tcPr>
            <w:tcW w:w="4940" w:type="dxa"/>
            <w:shd w:val="clear" w:color="auto" w:fill="auto"/>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加强区房屋维修应急中心建设</w:t>
            </w:r>
          </w:p>
        </w:tc>
        <w:tc>
          <w:tcPr>
            <w:tcW w:w="1368" w:type="dxa"/>
            <w:shd w:val="clear" w:color="auto" w:fill="auto"/>
            <w:noWrap/>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2015-2017</w:t>
            </w:r>
          </w:p>
        </w:tc>
        <w:tc>
          <w:tcPr>
            <w:tcW w:w="163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区房管局</w:t>
            </w:r>
          </w:p>
        </w:tc>
        <w:tc>
          <w:tcPr>
            <w:tcW w:w="1897"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区财政局</w:t>
            </w:r>
          </w:p>
        </w:tc>
        <w:tc>
          <w:tcPr>
            <w:tcW w:w="199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西部集团</w:t>
            </w:r>
          </w:p>
        </w:tc>
        <w:tc>
          <w:tcPr>
            <w:tcW w:w="74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 xml:space="preserve">　</w:t>
            </w:r>
          </w:p>
        </w:tc>
      </w:tr>
      <w:tr w:rsidR="000F7E38" w:rsidRPr="007F4CDC" w:rsidTr="003328B7">
        <w:trPr>
          <w:trHeight w:val="567"/>
        </w:trPr>
        <w:tc>
          <w:tcPr>
            <w:tcW w:w="66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37</w:t>
            </w:r>
          </w:p>
        </w:tc>
        <w:tc>
          <w:tcPr>
            <w:tcW w:w="2249" w:type="dxa"/>
            <w:vMerge/>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p>
        </w:tc>
        <w:tc>
          <w:tcPr>
            <w:tcW w:w="4940" w:type="dxa"/>
            <w:shd w:val="clear" w:color="auto" w:fill="auto"/>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各街道镇探索组建辖区属地化应急处置队伍</w:t>
            </w:r>
          </w:p>
        </w:tc>
        <w:tc>
          <w:tcPr>
            <w:tcW w:w="1368" w:type="dxa"/>
            <w:shd w:val="clear" w:color="auto" w:fill="auto"/>
            <w:noWrap/>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2015-2017</w:t>
            </w:r>
          </w:p>
        </w:tc>
        <w:tc>
          <w:tcPr>
            <w:tcW w:w="163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各街道镇</w:t>
            </w:r>
          </w:p>
        </w:tc>
        <w:tc>
          <w:tcPr>
            <w:tcW w:w="1897"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区财政局</w:t>
            </w:r>
          </w:p>
        </w:tc>
        <w:tc>
          <w:tcPr>
            <w:tcW w:w="199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各街道镇</w:t>
            </w:r>
          </w:p>
        </w:tc>
        <w:tc>
          <w:tcPr>
            <w:tcW w:w="74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 xml:space="preserve">　</w:t>
            </w:r>
          </w:p>
        </w:tc>
      </w:tr>
      <w:tr w:rsidR="000F7E38" w:rsidRPr="007F4CDC" w:rsidTr="003328B7">
        <w:trPr>
          <w:trHeight w:val="567"/>
        </w:trPr>
        <w:tc>
          <w:tcPr>
            <w:tcW w:w="66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38</w:t>
            </w:r>
          </w:p>
        </w:tc>
        <w:tc>
          <w:tcPr>
            <w:tcW w:w="2249" w:type="dxa"/>
            <w:vMerge w:val="restart"/>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加快解决维修资金历史遗留问题</w:t>
            </w:r>
          </w:p>
        </w:tc>
        <w:tc>
          <w:tcPr>
            <w:tcW w:w="4940" w:type="dxa"/>
            <w:shd w:val="clear" w:color="auto" w:fill="auto"/>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推进落实早期商品住宅专项维修资金补建工作</w:t>
            </w:r>
          </w:p>
        </w:tc>
        <w:tc>
          <w:tcPr>
            <w:tcW w:w="1368"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2015-2017</w:t>
            </w:r>
          </w:p>
        </w:tc>
        <w:tc>
          <w:tcPr>
            <w:tcW w:w="163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区房管局</w:t>
            </w:r>
          </w:p>
        </w:tc>
        <w:tc>
          <w:tcPr>
            <w:tcW w:w="1897"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区财政局、各街道镇</w:t>
            </w:r>
          </w:p>
        </w:tc>
        <w:tc>
          <w:tcPr>
            <w:tcW w:w="199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区房管局、各街道镇</w:t>
            </w:r>
          </w:p>
        </w:tc>
        <w:tc>
          <w:tcPr>
            <w:tcW w:w="742" w:type="dxa"/>
            <w:shd w:val="clear" w:color="auto" w:fill="auto"/>
            <w:noWrap/>
            <w:vAlign w:val="bottom"/>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 xml:space="preserve">　</w:t>
            </w:r>
          </w:p>
        </w:tc>
      </w:tr>
      <w:tr w:rsidR="000F7E38" w:rsidRPr="007F4CDC" w:rsidTr="003328B7">
        <w:trPr>
          <w:trHeight w:val="567"/>
        </w:trPr>
        <w:tc>
          <w:tcPr>
            <w:tcW w:w="66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39</w:t>
            </w:r>
          </w:p>
        </w:tc>
        <w:tc>
          <w:tcPr>
            <w:tcW w:w="2249" w:type="dxa"/>
            <w:vMerge/>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p>
        </w:tc>
        <w:tc>
          <w:tcPr>
            <w:tcW w:w="4940" w:type="dxa"/>
            <w:shd w:val="clear" w:color="auto" w:fill="auto"/>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推进解决售后房“三项维修资金”历史遗留问题</w:t>
            </w:r>
          </w:p>
        </w:tc>
        <w:tc>
          <w:tcPr>
            <w:tcW w:w="1368"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2015-2017</w:t>
            </w:r>
          </w:p>
        </w:tc>
        <w:tc>
          <w:tcPr>
            <w:tcW w:w="163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区房管局</w:t>
            </w:r>
          </w:p>
        </w:tc>
        <w:tc>
          <w:tcPr>
            <w:tcW w:w="1897"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区财政局、各街道镇</w:t>
            </w:r>
          </w:p>
        </w:tc>
        <w:tc>
          <w:tcPr>
            <w:tcW w:w="199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区房管局、各街道镇</w:t>
            </w:r>
          </w:p>
        </w:tc>
        <w:tc>
          <w:tcPr>
            <w:tcW w:w="742" w:type="dxa"/>
            <w:shd w:val="clear" w:color="auto" w:fill="auto"/>
            <w:noWrap/>
            <w:vAlign w:val="bottom"/>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 xml:space="preserve">　</w:t>
            </w:r>
          </w:p>
        </w:tc>
      </w:tr>
      <w:tr w:rsidR="000F7E38" w:rsidRPr="007F4CDC" w:rsidTr="003328B7">
        <w:trPr>
          <w:trHeight w:val="567"/>
        </w:trPr>
        <w:tc>
          <w:tcPr>
            <w:tcW w:w="66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40</w:t>
            </w:r>
          </w:p>
        </w:tc>
        <w:tc>
          <w:tcPr>
            <w:tcW w:w="2249"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加大“群租”顽症治理力度</w:t>
            </w:r>
          </w:p>
        </w:tc>
        <w:tc>
          <w:tcPr>
            <w:tcW w:w="4940" w:type="dxa"/>
            <w:shd w:val="clear" w:color="auto" w:fill="auto"/>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依托“出租房屋综合管理平台”，建立“群租”房屋的日常综合处置机制，对矛盾较为突出的“群租”开展综合整治</w:t>
            </w:r>
          </w:p>
        </w:tc>
        <w:tc>
          <w:tcPr>
            <w:tcW w:w="1368"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2015-2017</w:t>
            </w:r>
          </w:p>
        </w:tc>
        <w:tc>
          <w:tcPr>
            <w:tcW w:w="163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区公安分局、区房管局</w:t>
            </w:r>
          </w:p>
        </w:tc>
        <w:tc>
          <w:tcPr>
            <w:tcW w:w="1897"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各街道镇</w:t>
            </w:r>
          </w:p>
        </w:tc>
        <w:tc>
          <w:tcPr>
            <w:tcW w:w="199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各街道镇</w:t>
            </w:r>
          </w:p>
        </w:tc>
        <w:tc>
          <w:tcPr>
            <w:tcW w:w="74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 xml:space="preserve">　</w:t>
            </w:r>
          </w:p>
        </w:tc>
      </w:tr>
      <w:tr w:rsidR="000F7E38" w:rsidRPr="007F4CDC" w:rsidTr="003328B7">
        <w:trPr>
          <w:trHeight w:val="567"/>
        </w:trPr>
        <w:tc>
          <w:tcPr>
            <w:tcW w:w="66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41</w:t>
            </w:r>
          </w:p>
        </w:tc>
        <w:tc>
          <w:tcPr>
            <w:tcW w:w="2249" w:type="dxa"/>
            <w:vMerge w:val="restart"/>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努力缓解住宅小区        “停车难”问题</w:t>
            </w:r>
          </w:p>
        </w:tc>
        <w:tc>
          <w:tcPr>
            <w:tcW w:w="4940" w:type="dxa"/>
            <w:shd w:val="clear" w:color="auto" w:fill="auto"/>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编制本区停车专项规划，制定缓解住宅小区“停车难”专项计划</w:t>
            </w:r>
          </w:p>
        </w:tc>
        <w:tc>
          <w:tcPr>
            <w:tcW w:w="1368"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2015.9</w:t>
            </w:r>
          </w:p>
        </w:tc>
        <w:tc>
          <w:tcPr>
            <w:tcW w:w="163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区规土局</w:t>
            </w:r>
          </w:p>
        </w:tc>
        <w:tc>
          <w:tcPr>
            <w:tcW w:w="1897" w:type="dxa"/>
            <w:shd w:val="clear" w:color="auto" w:fill="auto"/>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区建管委（区交通委）</w:t>
            </w:r>
          </w:p>
        </w:tc>
        <w:tc>
          <w:tcPr>
            <w:tcW w:w="199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区规土局</w:t>
            </w:r>
          </w:p>
        </w:tc>
        <w:tc>
          <w:tcPr>
            <w:tcW w:w="74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 xml:space="preserve">　</w:t>
            </w:r>
          </w:p>
        </w:tc>
      </w:tr>
      <w:tr w:rsidR="000F7E38" w:rsidRPr="007F4CDC" w:rsidTr="003328B7">
        <w:trPr>
          <w:trHeight w:val="567"/>
        </w:trPr>
        <w:tc>
          <w:tcPr>
            <w:tcW w:w="66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42</w:t>
            </w:r>
          </w:p>
        </w:tc>
        <w:tc>
          <w:tcPr>
            <w:tcW w:w="2249" w:type="dxa"/>
            <w:vMerge/>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p>
        </w:tc>
        <w:tc>
          <w:tcPr>
            <w:tcW w:w="4940" w:type="dxa"/>
            <w:shd w:val="clear" w:color="auto" w:fill="auto"/>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协调推进住宅小区与周边共享停车资源，错时停车</w:t>
            </w:r>
          </w:p>
        </w:tc>
        <w:tc>
          <w:tcPr>
            <w:tcW w:w="1368"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2015-2017</w:t>
            </w:r>
          </w:p>
        </w:tc>
        <w:tc>
          <w:tcPr>
            <w:tcW w:w="163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各街道镇</w:t>
            </w:r>
          </w:p>
        </w:tc>
        <w:tc>
          <w:tcPr>
            <w:tcW w:w="1897"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区公安分局（区交警支队）、区建管委（区交通委）、区教育局等相关部门</w:t>
            </w:r>
          </w:p>
        </w:tc>
        <w:tc>
          <w:tcPr>
            <w:tcW w:w="199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各街道镇</w:t>
            </w:r>
          </w:p>
        </w:tc>
        <w:tc>
          <w:tcPr>
            <w:tcW w:w="74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 xml:space="preserve">　</w:t>
            </w:r>
          </w:p>
        </w:tc>
      </w:tr>
      <w:tr w:rsidR="000F7E38" w:rsidRPr="007F4CDC" w:rsidTr="003328B7">
        <w:trPr>
          <w:trHeight w:val="567"/>
        </w:trPr>
        <w:tc>
          <w:tcPr>
            <w:tcW w:w="66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lastRenderedPageBreak/>
              <w:t>43</w:t>
            </w:r>
          </w:p>
        </w:tc>
        <w:tc>
          <w:tcPr>
            <w:tcW w:w="2249" w:type="dxa"/>
            <w:vMerge/>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p>
        </w:tc>
        <w:tc>
          <w:tcPr>
            <w:tcW w:w="4940" w:type="dxa"/>
            <w:shd w:val="clear" w:color="auto" w:fill="auto"/>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试点探索有条件的住宅小区在公共部位实施机械式停车位改造</w:t>
            </w:r>
          </w:p>
        </w:tc>
        <w:tc>
          <w:tcPr>
            <w:tcW w:w="1368"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2015-2017</w:t>
            </w:r>
          </w:p>
        </w:tc>
        <w:tc>
          <w:tcPr>
            <w:tcW w:w="163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各街道镇</w:t>
            </w:r>
          </w:p>
        </w:tc>
        <w:tc>
          <w:tcPr>
            <w:tcW w:w="1897"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区公安分局（区消防支队）、区建管委（区交通委）、区规土局、区房管局、区绿化市容局、区财政局</w:t>
            </w:r>
          </w:p>
        </w:tc>
        <w:tc>
          <w:tcPr>
            <w:tcW w:w="199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各街道镇</w:t>
            </w:r>
          </w:p>
        </w:tc>
        <w:tc>
          <w:tcPr>
            <w:tcW w:w="74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 xml:space="preserve">　</w:t>
            </w:r>
          </w:p>
        </w:tc>
      </w:tr>
      <w:tr w:rsidR="000F7E38" w:rsidRPr="007F4CDC" w:rsidTr="003328B7">
        <w:trPr>
          <w:trHeight w:val="567"/>
        </w:trPr>
        <w:tc>
          <w:tcPr>
            <w:tcW w:w="66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44</w:t>
            </w:r>
          </w:p>
        </w:tc>
        <w:tc>
          <w:tcPr>
            <w:tcW w:w="2249" w:type="dxa"/>
            <w:vMerge w:val="restart"/>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加大住宅小区绿化管理力度</w:t>
            </w:r>
          </w:p>
        </w:tc>
        <w:tc>
          <w:tcPr>
            <w:tcW w:w="4940" w:type="dxa"/>
            <w:shd w:val="clear" w:color="auto" w:fill="auto"/>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加强对住宅小区绿化工作的指导和监督，对住宅小区绿化改扩建、调整事宜进行规范化流程指导</w:t>
            </w:r>
          </w:p>
        </w:tc>
        <w:tc>
          <w:tcPr>
            <w:tcW w:w="1368"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2015-2017</w:t>
            </w:r>
          </w:p>
        </w:tc>
        <w:tc>
          <w:tcPr>
            <w:tcW w:w="163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区绿化市容局</w:t>
            </w:r>
          </w:p>
        </w:tc>
        <w:tc>
          <w:tcPr>
            <w:tcW w:w="1897"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各街道镇</w:t>
            </w:r>
          </w:p>
        </w:tc>
        <w:tc>
          <w:tcPr>
            <w:tcW w:w="199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区绿化市容局</w:t>
            </w:r>
          </w:p>
        </w:tc>
        <w:tc>
          <w:tcPr>
            <w:tcW w:w="74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 xml:space="preserve">　</w:t>
            </w:r>
          </w:p>
        </w:tc>
      </w:tr>
      <w:tr w:rsidR="000F7E38" w:rsidRPr="007F4CDC" w:rsidTr="003328B7">
        <w:trPr>
          <w:trHeight w:val="567"/>
        </w:trPr>
        <w:tc>
          <w:tcPr>
            <w:tcW w:w="66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45</w:t>
            </w:r>
          </w:p>
        </w:tc>
        <w:tc>
          <w:tcPr>
            <w:tcW w:w="2249" w:type="dxa"/>
            <w:vMerge/>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p>
        </w:tc>
        <w:tc>
          <w:tcPr>
            <w:tcW w:w="4940" w:type="dxa"/>
            <w:shd w:val="clear" w:color="auto" w:fill="auto"/>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查处物业管理区域内损绿毁绿案件</w:t>
            </w:r>
          </w:p>
        </w:tc>
        <w:tc>
          <w:tcPr>
            <w:tcW w:w="1368"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2015-2017</w:t>
            </w:r>
          </w:p>
        </w:tc>
        <w:tc>
          <w:tcPr>
            <w:tcW w:w="163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区城市管理行政执法局</w:t>
            </w:r>
          </w:p>
        </w:tc>
        <w:tc>
          <w:tcPr>
            <w:tcW w:w="1897"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各街道镇</w:t>
            </w:r>
          </w:p>
        </w:tc>
        <w:tc>
          <w:tcPr>
            <w:tcW w:w="199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各街镇城管中队</w:t>
            </w:r>
          </w:p>
        </w:tc>
        <w:tc>
          <w:tcPr>
            <w:tcW w:w="74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 xml:space="preserve">　</w:t>
            </w:r>
          </w:p>
        </w:tc>
      </w:tr>
      <w:tr w:rsidR="000F7E38" w:rsidRPr="007F4CDC" w:rsidTr="003328B7">
        <w:trPr>
          <w:trHeight w:val="567"/>
        </w:trPr>
        <w:tc>
          <w:tcPr>
            <w:tcW w:w="66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46</w:t>
            </w:r>
          </w:p>
        </w:tc>
        <w:tc>
          <w:tcPr>
            <w:tcW w:w="2249"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完善房屋质量的投诉处理</w:t>
            </w:r>
          </w:p>
        </w:tc>
        <w:tc>
          <w:tcPr>
            <w:tcW w:w="4940" w:type="dxa"/>
            <w:shd w:val="clear" w:color="auto" w:fill="auto"/>
            <w:vAlign w:val="center"/>
            <w:hideMark/>
          </w:tcPr>
          <w:p w:rsidR="000F7E38" w:rsidRPr="007F4CDC" w:rsidRDefault="000F7E38" w:rsidP="003328B7">
            <w:pPr>
              <w:widowControl/>
              <w:spacing w:line="280" w:lineRule="exact"/>
              <w:jc w:val="left"/>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处理调解保修期内住宅工程质量投诉，负责处理因周边工程建设引起的住宅裂缝等质量问题，完善处置流程，落实分户验收复核抽检制度，建立住宅工程保修节点质量评定制度</w:t>
            </w:r>
          </w:p>
        </w:tc>
        <w:tc>
          <w:tcPr>
            <w:tcW w:w="1368"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2015-2017</w:t>
            </w:r>
          </w:p>
        </w:tc>
        <w:tc>
          <w:tcPr>
            <w:tcW w:w="163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区建管委</w:t>
            </w:r>
          </w:p>
        </w:tc>
        <w:tc>
          <w:tcPr>
            <w:tcW w:w="1897"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区房管局</w:t>
            </w:r>
          </w:p>
        </w:tc>
        <w:tc>
          <w:tcPr>
            <w:tcW w:w="199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区建管委</w:t>
            </w:r>
          </w:p>
        </w:tc>
        <w:tc>
          <w:tcPr>
            <w:tcW w:w="742" w:type="dxa"/>
            <w:shd w:val="clear" w:color="auto" w:fill="auto"/>
            <w:vAlign w:val="center"/>
            <w:hideMark/>
          </w:tcPr>
          <w:p w:rsidR="000F7E38" w:rsidRPr="007F4CDC" w:rsidRDefault="000F7E38" w:rsidP="003328B7">
            <w:pPr>
              <w:widowControl/>
              <w:spacing w:line="280" w:lineRule="exact"/>
              <w:jc w:val="center"/>
              <w:rPr>
                <w:rFonts w:ascii="仿宋_GB2312" w:hAnsi="宋体" w:cs="Calibri" w:hint="eastAsia"/>
                <w:kern w:val="0"/>
                <w:sz w:val="21"/>
                <w:szCs w:val="21"/>
                <w:lang w:eastAsia="zh-CN"/>
              </w:rPr>
            </w:pPr>
            <w:r w:rsidRPr="007F4CDC">
              <w:rPr>
                <w:rFonts w:ascii="仿宋_GB2312" w:hAnsi="宋体" w:cs="Calibri" w:hint="eastAsia"/>
                <w:kern w:val="0"/>
                <w:sz w:val="21"/>
                <w:szCs w:val="21"/>
                <w:lang w:eastAsia="zh-CN"/>
              </w:rPr>
              <w:t xml:space="preserve">　</w:t>
            </w:r>
          </w:p>
        </w:tc>
      </w:tr>
    </w:tbl>
    <w:p w:rsidR="000F7E38" w:rsidRDefault="000F7E38" w:rsidP="000F7E38">
      <w:pPr>
        <w:rPr>
          <w:rFonts w:hint="eastAsia"/>
          <w:lang w:eastAsia="zh-CN"/>
        </w:rPr>
      </w:pPr>
    </w:p>
    <w:p w:rsidR="000F7E38" w:rsidRDefault="000F7E38" w:rsidP="000F7E38">
      <w:pPr>
        <w:rPr>
          <w:rFonts w:hint="eastAsia"/>
          <w:lang w:eastAsia="zh-CN"/>
        </w:rPr>
        <w:sectPr w:rsidR="000F7E38" w:rsidSect="007F4CDC">
          <w:pgSz w:w="16838" w:h="11906" w:orient="landscape" w:code="9"/>
          <w:pgMar w:top="1588" w:right="2098" w:bottom="1474" w:left="1985" w:header="851" w:footer="964" w:gutter="0"/>
          <w:cols w:space="425"/>
          <w:docGrid w:type="lines" w:linePitch="579" w:charSpace="-849"/>
        </w:sectPr>
      </w:pPr>
    </w:p>
    <w:p w:rsidR="00412A6E" w:rsidRPr="000F7E38" w:rsidRDefault="00412A6E">
      <w:pPr>
        <w:rPr>
          <w:rFonts w:eastAsia="MS Mincho" w:hint="eastAsia"/>
        </w:rPr>
      </w:pPr>
    </w:p>
    <w:sectPr w:rsidR="00412A6E" w:rsidRPr="000F7E38" w:rsidSect="000F7E38">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E38"/>
    <w:rsid w:val="000F7E38"/>
    <w:rsid w:val="00412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7F8E6-56D6-43C5-8802-D7D073A9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E38"/>
    <w:pPr>
      <w:widowControl w:val="0"/>
      <w:jc w:val="both"/>
    </w:pPr>
    <w:rPr>
      <w:rFonts w:ascii="Times New Roman" w:eastAsia="仿宋_GB2312" w:hAnsi="Times New Roman" w:cs="Times New Roman"/>
      <w:sz w:val="32"/>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592</Words>
  <Characters>3380</Characters>
  <Application>Microsoft Office Word</Application>
  <DocSecurity>0</DocSecurity>
  <Lines>28</Lines>
  <Paragraphs>7</Paragraphs>
  <ScaleCrop>false</ScaleCrop>
  <Company/>
  <LinksUpToDate>false</LinksUpToDate>
  <CharactersWithSpaces>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凌肖雅</dc:creator>
  <cp:keywords/>
  <dc:description/>
  <cp:lastModifiedBy>凌肖雅</cp:lastModifiedBy>
  <cp:revision>1</cp:revision>
  <dcterms:created xsi:type="dcterms:W3CDTF">2015-10-10T07:27:00Z</dcterms:created>
  <dcterms:modified xsi:type="dcterms:W3CDTF">2015-10-10T07:28:00Z</dcterms:modified>
</cp:coreProperties>
</file>