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77" w:rsidRDefault="000A5777" w:rsidP="000A5777">
      <w:pPr>
        <w:ind w:firstLineChars="1700" w:firstLine="5440"/>
        <w:rPr>
          <w:rFonts w:ascii="仿宋_GB2312" w:eastAsia="仿宋_GB2312"/>
          <w:sz w:val="32"/>
          <w:szCs w:val="32"/>
        </w:rPr>
      </w:pPr>
      <w:r>
        <w:rPr>
          <w:rFonts w:ascii="仿宋_GB2312" w:eastAsia="仿宋_GB2312" w:hint="eastAsia"/>
          <w:sz w:val="32"/>
          <w:szCs w:val="32"/>
        </w:rPr>
        <w:t>办理结果：采纳解决</w:t>
      </w:r>
    </w:p>
    <w:p w:rsidR="000A5777" w:rsidRDefault="000A5777" w:rsidP="000A5777">
      <w:pPr>
        <w:ind w:firstLineChars="1700" w:firstLine="5440"/>
        <w:rPr>
          <w:rFonts w:ascii="仿宋_GB2312" w:eastAsia="仿宋_GB2312"/>
          <w:sz w:val="32"/>
          <w:szCs w:val="32"/>
        </w:rPr>
      </w:pPr>
      <w:r>
        <w:rPr>
          <w:rFonts w:ascii="仿宋_GB2312" w:eastAsia="仿宋_GB2312" w:hint="eastAsia"/>
          <w:sz w:val="32"/>
          <w:szCs w:val="32"/>
        </w:rPr>
        <w:t>公开属性：主动公开</w:t>
      </w:r>
    </w:p>
    <w:p w:rsidR="000A5777" w:rsidRPr="00AC7CA7" w:rsidRDefault="000A5777" w:rsidP="000A5777">
      <w:pPr>
        <w:pBdr>
          <w:bottom w:val="single" w:sz="6" w:space="1" w:color="auto"/>
        </w:pBdr>
        <w:jc w:val="center"/>
        <w:rPr>
          <w:rFonts w:eastAsia="华文中宋"/>
          <w:b/>
          <w:color w:val="FF0000"/>
          <w:sz w:val="48"/>
          <w:szCs w:val="48"/>
        </w:rPr>
      </w:pPr>
      <w:r w:rsidRPr="00AC7CA7">
        <w:rPr>
          <w:rFonts w:eastAsia="华文中宋" w:hAnsi="华文中宋"/>
          <w:b/>
          <w:color w:val="FF0000"/>
          <w:sz w:val="48"/>
          <w:szCs w:val="48"/>
        </w:rPr>
        <w:t>上</w:t>
      </w:r>
      <w:r>
        <w:rPr>
          <w:rFonts w:eastAsia="华文中宋" w:hAnsi="华文中宋" w:hint="eastAsia"/>
          <w:b/>
          <w:color w:val="FF0000"/>
          <w:sz w:val="48"/>
          <w:szCs w:val="48"/>
        </w:rPr>
        <w:t xml:space="preserve"> </w:t>
      </w:r>
      <w:r w:rsidRPr="00AC7CA7">
        <w:rPr>
          <w:rFonts w:eastAsia="华文中宋" w:hAnsi="华文中宋"/>
          <w:b/>
          <w:color w:val="FF0000"/>
          <w:sz w:val="48"/>
          <w:szCs w:val="48"/>
        </w:rPr>
        <w:t>海</w:t>
      </w:r>
      <w:r>
        <w:rPr>
          <w:rFonts w:eastAsia="华文中宋" w:hAnsi="华文中宋" w:hint="eastAsia"/>
          <w:b/>
          <w:color w:val="FF0000"/>
          <w:sz w:val="48"/>
          <w:szCs w:val="48"/>
        </w:rPr>
        <w:t xml:space="preserve"> </w:t>
      </w:r>
      <w:r w:rsidRPr="00AC7CA7">
        <w:rPr>
          <w:rFonts w:eastAsia="华文中宋" w:hAnsi="华文中宋"/>
          <w:b/>
          <w:color w:val="FF0000"/>
          <w:sz w:val="48"/>
          <w:szCs w:val="48"/>
        </w:rPr>
        <w:t>市</w:t>
      </w:r>
      <w:r>
        <w:rPr>
          <w:rFonts w:eastAsia="华文中宋" w:hAnsi="华文中宋" w:hint="eastAsia"/>
          <w:b/>
          <w:color w:val="FF0000"/>
          <w:sz w:val="48"/>
          <w:szCs w:val="48"/>
        </w:rPr>
        <w:t xml:space="preserve"> </w:t>
      </w:r>
      <w:r w:rsidRPr="00AC7CA7">
        <w:rPr>
          <w:rFonts w:eastAsia="华文中宋" w:hAnsi="华文中宋"/>
          <w:b/>
          <w:color w:val="FF0000"/>
          <w:sz w:val="48"/>
          <w:szCs w:val="48"/>
        </w:rPr>
        <w:t>普</w:t>
      </w:r>
      <w:r>
        <w:rPr>
          <w:rFonts w:eastAsia="华文中宋" w:hAnsi="华文中宋" w:hint="eastAsia"/>
          <w:b/>
          <w:color w:val="FF0000"/>
          <w:sz w:val="48"/>
          <w:szCs w:val="48"/>
        </w:rPr>
        <w:t xml:space="preserve"> </w:t>
      </w:r>
      <w:proofErr w:type="gramStart"/>
      <w:r w:rsidRPr="00AC7CA7">
        <w:rPr>
          <w:rFonts w:eastAsia="华文中宋" w:hAnsi="华文中宋"/>
          <w:b/>
          <w:color w:val="FF0000"/>
          <w:sz w:val="48"/>
          <w:szCs w:val="48"/>
        </w:rPr>
        <w:t>陀</w:t>
      </w:r>
      <w:proofErr w:type="gramEnd"/>
      <w:r>
        <w:rPr>
          <w:rFonts w:eastAsia="华文中宋" w:hAnsi="华文中宋" w:hint="eastAsia"/>
          <w:b/>
          <w:color w:val="FF0000"/>
          <w:sz w:val="48"/>
          <w:szCs w:val="48"/>
        </w:rPr>
        <w:t xml:space="preserve"> </w:t>
      </w:r>
      <w:r w:rsidRPr="00AC7CA7">
        <w:rPr>
          <w:rFonts w:eastAsia="华文中宋" w:hAnsi="华文中宋"/>
          <w:b/>
          <w:color w:val="FF0000"/>
          <w:sz w:val="48"/>
          <w:szCs w:val="48"/>
        </w:rPr>
        <w:t>区</w:t>
      </w:r>
      <w:r>
        <w:rPr>
          <w:rFonts w:eastAsia="华文中宋" w:hAnsi="华文中宋" w:hint="eastAsia"/>
          <w:b/>
          <w:color w:val="FF0000"/>
          <w:sz w:val="48"/>
          <w:szCs w:val="48"/>
        </w:rPr>
        <w:t xml:space="preserve"> </w:t>
      </w:r>
      <w:r w:rsidRPr="00AC7CA7">
        <w:rPr>
          <w:rFonts w:eastAsia="华文中宋" w:hint="eastAsia"/>
          <w:b/>
          <w:color w:val="FF0000"/>
          <w:sz w:val="48"/>
          <w:szCs w:val="48"/>
        </w:rPr>
        <w:t>生</w:t>
      </w:r>
      <w:r>
        <w:rPr>
          <w:rFonts w:eastAsia="华文中宋" w:hint="eastAsia"/>
          <w:b/>
          <w:color w:val="FF0000"/>
          <w:sz w:val="48"/>
          <w:szCs w:val="48"/>
        </w:rPr>
        <w:t xml:space="preserve"> </w:t>
      </w:r>
      <w:r w:rsidRPr="00AC7CA7">
        <w:rPr>
          <w:rFonts w:eastAsia="华文中宋" w:hint="eastAsia"/>
          <w:b/>
          <w:color w:val="FF0000"/>
          <w:sz w:val="48"/>
          <w:szCs w:val="48"/>
        </w:rPr>
        <w:t>态</w:t>
      </w:r>
      <w:r>
        <w:rPr>
          <w:rFonts w:eastAsia="华文中宋" w:hint="eastAsia"/>
          <w:b/>
          <w:color w:val="FF0000"/>
          <w:sz w:val="48"/>
          <w:szCs w:val="48"/>
        </w:rPr>
        <w:t xml:space="preserve"> </w:t>
      </w:r>
      <w:r w:rsidRPr="00AC7CA7">
        <w:rPr>
          <w:rFonts w:eastAsia="华文中宋" w:hint="eastAsia"/>
          <w:b/>
          <w:color w:val="FF0000"/>
          <w:sz w:val="48"/>
          <w:szCs w:val="48"/>
        </w:rPr>
        <w:t>环</w:t>
      </w:r>
      <w:r>
        <w:rPr>
          <w:rFonts w:eastAsia="华文中宋" w:hint="eastAsia"/>
          <w:b/>
          <w:color w:val="FF0000"/>
          <w:sz w:val="48"/>
          <w:szCs w:val="48"/>
        </w:rPr>
        <w:t xml:space="preserve"> </w:t>
      </w:r>
      <w:r w:rsidRPr="00AC7CA7">
        <w:rPr>
          <w:rFonts w:eastAsia="华文中宋" w:hint="eastAsia"/>
          <w:b/>
          <w:color w:val="FF0000"/>
          <w:sz w:val="48"/>
          <w:szCs w:val="48"/>
        </w:rPr>
        <w:t>境</w:t>
      </w:r>
      <w:r>
        <w:rPr>
          <w:rFonts w:eastAsia="华文中宋" w:hint="eastAsia"/>
          <w:b/>
          <w:color w:val="FF0000"/>
          <w:sz w:val="48"/>
          <w:szCs w:val="48"/>
        </w:rPr>
        <w:t xml:space="preserve"> </w:t>
      </w:r>
      <w:r w:rsidRPr="00AC7CA7">
        <w:rPr>
          <w:rFonts w:eastAsia="华文中宋" w:hint="eastAsia"/>
          <w:b/>
          <w:color w:val="FF0000"/>
          <w:sz w:val="48"/>
          <w:szCs w:val="48"/>
        </w:rPr>
        <w:t>局</w:t>
      </w:r>
    </w:p>
    <w:p w:rsidR="000A5777" w:rsidRDefault="000A5777" w:rsidP="000A5777">
      <w:pPr>
        <w:pBdr>
          <w:bottom w:val="single" w:sz="6" w:space="1" w:color="auto"/>
        </w:pBdr>
        <w:jc w:val="center"/>
        <w:rPr>
          <w:rFonts w:eastAsia="华文中宋"/>
          <w:sz w:val="28"/>
          <w:szCs w:val="28"/>
        </w:rPr>
      </w:pPr>
      <w:r>
        <w:rPr>
          <w:rFonts w:eastAsia="仿宋_GB2312" w:hint="eastAsia"/>
          <w:sz w:val="32"/>
          <w:szCs w:val="32"/>
        </w:rPr>
        <w:t>普环信</w:t>
      </w:r>
      <w:r>
        <w:rPr>
          <w:rFonts w:eastAsia="仿宋_GB2312" w:hint="eastAsia"/>
          <w:sz w:val="32"/>
          <w:szCs w:val="32"/>
        </w:rPr>
        <w:t>[2020]6</w:t>
      </w:r>
      <w:r>
        <w:rPr>
          <w:rFonts w:eastAsia="仿宋_GB2312" w:hint="eastAsia"/>
          <w:sz w:val="32"/>
          <w:szCs w:val="32"/>
        </w:rPr>
        <w:t>号</w:t>
      </w:r>
    </w:p>
    <w:p w:rsidR="000A5777" w:rsidRDefault="000A5777">
      <w:pPr>
        <w:jc w:val="center"/>
        <w:rPr>
          <w:rFonts w:ascii="黑体" w:eastAsia="黑体" w:hAnsi="黑体" w:cs="黑体"/>
          <w:color w:val="333333"/>
          <w:kern w:val="0"/>
          <w:sz w:val="36"/>
          <w:szCs w:val="36"/>
        </w:rPr>
      </w:pPr>
    </w:p>
    <w:p w:rsidR="00FE3F1C" w:rsidRDefault="00BD38FF">
      <w:pPr>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对区政协十四届四次会议第144050号提案的答复</w:t>
      </w:r>
    </w:p>
    <w:p w:rsidR="00FE3F1C" w:rsidRDefault="00FE3F1C">
      <w:pPr>
        <w:rPr>
          <w:rFonts w:ascii="仿宋_GB2312" w:eastAsia="仿宋_GB2312" w:hAnsi="仿宋_GB2312" w:cs="仿宋_GB2312"/>
          <w:color w:val="333333"/>
          <w:kern w:val="0"/>
          <w:sz w:val="30"/>
          <w:szCs w:val="30"/>
        </w:rPr>
      </w:pPr>
    </w:p>
    <w:p w:rsidR="00FE3F1C" w:rsidRDefault="00BD38FF">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陈峰、董正宇、平萍</w:t>
      </w:r>
      <w:r w:rsidR="00330DCC">
        <w:rPr>
          <w:rFonts w:ascii="仿宋_GB2312" w:eastAsia="仿宋_GB2312" w:hAnsi="仿宋_GB2312" w:cs="仿宋_GB2312" w:hint="eastAsia"/>
          <w:sz w:val="32"/>
          <w:szCs w:val="32"/>
        </w:rPr>
        <w:t>三位</w:t>
      </w:r>
      <w:r>
        <w:rPr>
          <w:rFonts w:ascii="仿宋_GB2312" w:eastAsia="仿宋_GB2312" w:hAnsi="仿宋_GB2312" w:cs="仿宋_GB2312" w:hint="eastAsia"/>
          <w:sz w:val="32"/>
          <w:szCs w:val="32"/>
        </w:rPr>
        <w:t>委员:</w:t>
      </w:r>
    </w:p>
    <w:p w:rsidR="00FE3F1C" w:rsidRDefault="00BD38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你们提出的《关于构建普陀生态绿色创新发展高地的建议》的提案收悉，我局作为主办单位，积极会同区建管委和桃</w:t>
      </w:r>
      <w:proofErr w:type="gramStart"/>
      <w:r>
        <w:rPr>
          <w:rFonts w:ascii="仿宋_GB2312" w:eastAsia="仿宋_GB2312" w:hAnsi="仿宋_GB2312" w:cs="仿宋_GB2312" w:hint="eastAsia"/>
          <w:sz w:val="32"/>
          <w:szCs w:val="32"/>
        </w:rPr>
        <w:t>浦智创城</w:t>
      </w:r>
      <w:proofErr w:type="gramEnd"/>
      <w:r>
        <w:rPr>
          <w:rFonts w:ascii="仿宋_GB2312" w:eastAsia="仿宋_GB2312" w:hAnsi="仿宋_GB2312" w:cs="仿宋_GB2312" w:hint="eastAsia"/>
          <w:sz w:val="32"/>
          <w:szCs w:val="32"/>
        </w:rPr>
        <w:t>开发建设有限公司对上述提案进行了研究和商讨，并形成以下答复意见。</w:t>
      </w:r>
    </w:p>
    <w:p w:rsidR="00FE3F1C" w:rsidRDefault="00BD38FF">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建议</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以新发展理念为引领，以问题与目标为导向，突出形成生态绿色、高质量和一体化发展三个方面，从区域、环境、行业三个维度、流域、区域、城镇三个尺度、以生态、生产、生活三生融合为对象，制定对产业布局和产业配置起到积极的引导作用，推动区域高质量发展，支撑绿色创新发展和绿色宜居新高地建设；体现整体性和协同性，促进跨区域共建共享的生态绿色创新机制的区域生态绿色创新发展规划蓝图。</w:t>
      </w:r>
    </w:p>
    <w:p w:rsidR="00FE3F1C" w:rsidRDefault="00BD38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我区注重绿色发展，以完善产业准入标准和优化环境政策体系为抓手，加大全过程环境监管力度，建立健全绿色制</w:t>
      </w:r>
      <w:r>
        <w:rPr>
          <w:rFonts w:ascii="仿宋_GB2312" w:eastAsia="仿宋_GB2312" w:hAnsi="仿宋_GB2312" w:cs="仿宋_GB2312" w:hint="eastAsia"/>
          <w:sz w:val="32"/>
          <w:szCs w:val="32"/>
        </w:rPr>
        <w:lastRenderedPageBreak/>
        <w:t>造体系，积极支持节能环保产业，推动绿色生产生活方式转变。</w:t>
      </w:r>
    </w:p>
    <w:p w:rsidR="00FE3F1C" w:rsidRDefault="00BD38FF">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t>一是大力推进产业转型升级。</w:t>
      </w:r>
      <w:r>
        <w:rPr>
          <w:rFonts w:ascii="仿宋_GB2312" w:eastAsia="仿宋_GB2312" w:hAnsi="仿宋_GB2312" w:cs="仿宋_GB2312" w:hint="eastAsia"/>
          <w:sz w:val="32"/>
          <w:szCs w:val="32"/>
        </w:rPr>
        <w:t>按照国内最严、对</w:t>
      </w:r>
      <w:proofErr w:type="gramStart"/>
      <w:r>
        <w:rPr>
          <w:rFonts w:ascii="仿宋_GB2312" w:eastAsia="仿宋_GB2312" w:hAnsi="仿宋_GB2312" w:cs="仿宋_GB2312" w:hint="eastAsia"/>
          <w:sz w:val="32"/>
          <w:szCs w:val="32"/>
        </w:rPr>
        <w:t>标国际</w:t>
      </w:r>
      <w:proofErr w:type="gramEnd"/>
      <w:r>
        <w:rPr>
          <w:rFonts w:ascii="仿宋_GB2312" w:eastAsia="仿宋_GB2312" w:hAnsi="仿宋_GB2312" w:cs="仿宋_GB2312" w:hint="eastAsia"/>
          <w:sz w:val="32"/>
          <w:szCs w:val="32"/>
        </w:rPr>
        <w:t>的要求，继续</w:t>
      </w:r>
      <w:proofErr w:type="gramStart"/>
      <w:r>
        <w:rPr>
          <w:rFonts w:ascii="仿宋_GB2312" w:eastAsia="仿宋_GB2312" w:hAnsi="仿宋_GB2312" w:cs="仿宋_GB2312" w:hint="eastAsia"/>
          <w:sz w:val="32"/>
          <w:szCs w:val="32"/>
        </w:rPr>
        <w:t>收严重</w:t>
      </w:r>
      <w:proofErr w:type="gramEnd"/>
      <w:r>
        <w:rPr>
          <w:rFonts w:ascii="仿宋_GB2312" w:eastAsia="仿宋_GB2312" w:hAnsi="仿宋_GB2312" w:cs="仿宋_GB2312" w:hint="eastAsia"/>
          <w:sz w:val="32"/>
          <w:szCs w:val="32"/>
        </w:rPr>
        <w:t>点行业产业准入标准、能耗、水耗和环保排放标准。深入推进整体转型，加快</w:t>
      </w:r>
      <w:proofErr w:type="gramStart"/>
      <w:r>
        <w:rPr>
          <w:rFonts w:ascii="仿宋_GB2312" w:eastAsia="仿宋_GB2312" w:hAnsi="仿宋_GB2312" w:cs="仿宋_GB2312" w:hint="eastAsia"/>
          <w:sz w:val="32"/>
          <w:szCs w:val="32"/>
        </w:rPr>
        <w:t>桃浦智创</w:t>
      </w:r>
      <w:proofErr w:type="gramEnd"/>
      <w:r>
        <w:rPr>
          <w:rFonts w:ascii="仿宋_GB2312" w:eastAsia="仿宋_GB2312" w:hAnsi="仿宋_GB2312" w:cs="仿宋_GB2312" w:hint="eastAsia"/>
          <w:sz w:val="32"/>
          <w:szCs w:val="32"/>
        </w:rPr>
        <w:t>城、真如城市副中心建设。结合长江经济带化工专项整治等要求，加强化工行业的调整和提升。落实市绿色制造体系建设方案和绿色制造体系评价标准，到2020年，绿色制造体系初步建立。</w:t>
      </w:r>
    </w:p>
    <w:p w:rsidR="00FE3F1C" w:rsidRDefault="00BD38FF">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t>二是全面推进资源能源节约。</w:t>
      </w:r>
      <w:r>
        <w:rPr>
          <w:rFonts w:ascii="仿宋_GB2312" w:eastAsia="仿宋_GB2312" w:hAnsi="仿宋_GB2312" w:cs="仿宋_GB2312" w:hint="eastAsia"/>
          <w:sz w:val="32"/>
          <w:szCs w:val="32"/>
        </w:rPr>
        <w:t>节约集约利用能源、水资源和土地资源，加强全过程管理，降低资源能源消耗总量。深入推动工业、建筑、交通和公共机构等重点领域的节能降碳，大力推广节能技术（产品）应用，实施重点用能企业能效对标达标、能效领跑等行动和重大项目，推进能源管理体系、能源管理中心建设。实施最严格水资源管理制度，落实市、区及重点企业（集团）的用水总量控制指标体系，强化水资源消耗总量和强度双控，滚动开展节水型社会建设试点。所有新建建筑全部执行绿色建筑标准；推进低碳发展实践区、重点功能区域内新建公共建筑按照绿色建筑二星级及以上标准建设的比例不低于70%。推进工业节水工作，建立高耗水、高污染企业的逐步淘汰机制。推广土地混合利用和建筑功能复合，加强地下空间利用。</w:t>
      </w:r>
    </w:p>
    <w:p w:rsidR="00FE3F1C" w:rsidRDefault="00BD38FF">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t>三是大力发展节能环保产业。</w:t>
      </w:r>
      <w:r>
        <w:rPr>
          <w:rFonts w:ascii="仿宋_GB2312" w:eastAsia="仿宋_GB2312" w:hAnsi="仿宋_GB2312" w:cs="仿宋_GB2312" w:hint="eastAsia"/>
          <w:sz w:val="32"/>
          <w:szCs w:val="32"/>
        </w:rPr>
        <w:t>围绕“智慧引领、高端制造、创新服务、绿色发展”的方针，加大节能环保行业龙头企业的培育力度。加强科技创新引领，全面提升高效节能、</w:t>
      </w:r>
      <w:r>
        <w:rPr>
          <w:rFonts w:ascii="仿宋_GB2312" w:eastAsia="仿宋_GB2312" w:hAnsi="仿宋_GB2312" w:cs="仿宋_GB2312" w:hint="eastAsia"/>
          <w:sz w:val="32"/>
          <w:szCs w:val="32"/>
        </w:rPr>
        <w:lastRenderedPageBreak/>
        <w:t>先进环保、资源循环利用领域技术装备水平。优化产业布局，提升产业能级，加强产业集群建设，加快形成节能环保产业高地。大力推进合同能源管理、合同节水管理、环境污染第三</w:t>
      </w:r>
      <w:proofErr w:type="gramStart"/>
      <w:r>
        <w:rPr>
          <w:rFonts w:ascii="仿宋_GB2312" w:eastAsia="仿宋_GB2312" w:hAnsi="仿宋_GB2312" w:cs="仿宋_GB2312" w:hint="eastAsia"/>
          <w:sz w:val="32"/>
          <w:szCs w:val="32"/>
        </w:rPr>
        <w:t>方治理</w:t>
      </w:r>
      <w:proofErr w:type="gramEnd"/>
      <w:r>
        <w:rPr>
          <w:rFonts w:ascii="仿宋_GB2312" w:eastAsia="仿宋_GB2312" w:hAnsi="仿宋_GB2312" w:cs="仿宋_GB2312" w:hint="eastAsia"/>
          <w:sz w:val="32"/>
          <w:szCs w:val="32"/>
        </w:rPr>
        <w:t>等节能和环境服务业的规范化发展，打造“节能环保产业”品牌。</w:t>
      </w:r>
    </w:p>
    <w:p w:rsidR="00FE3F1C" w:rsidRDefault="00BD38FF">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sz w:val="32"/>
          <w:szCs w:val="32"/>
        </w:rPr>
        <w:t>四是引导绿色生活方式转变。</w:t>
      </w:r>
      <w:r>
        <w:rPr>
          <w:rFonts w:ascii="仿宋_GB2312" w:eastAsia="仿宋_GB2312" w:hAnsi="仿宋_GB2312" w:cs="仿宋_GB2312" w:hint="eastAsia"/>
          <w:sz w:val="32"/>
          <w:szCs w:val="32"/>
        </w:rPr>
        <w:t>加强生态文明宣传教育，倡导绿色低碳、文明健康的生活方式和消费模式，提高全社会生态文明意识。结合市民修身行动，加强宣传引导，广泛传播绿色生活理念。将绿色生活相关内容纳入文明城区、文明社区等指标体系，积极开展创建市、区级节约型示范单位、绿色家庭、绿色餐厅、绿色生态社区、绿色学校和绿色出行等行动，推进绿色生态城区创建，引导公众积极</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绿色生活。加强对绿色产品开发研发、绿色技术和高效节能产品的推广支持。严格执行节能环保产品强制采购和优先采购制度，发挥政府采购的政策导向作用。培育市民文明绿色生活方式，提升市民的生活品质。</w:t>
      </w:r>
    </w:p>
    <w:p w:rsidR="00FE3F1C" w:rsidRDefault="00BD38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5年来，我区依托区环境保护和环境建设协调推进委员会平台，大力推进绿色创新发展，坚持需求导向、问题导向、效果导向，围绕市民最关心最直接最现实的空气污染、河道黑臭、异味扰民等突出问题，以改善生态环境质量为核心，努力在大气、水、土壤、和生态建设等领域尽快实现重大突破，针对不同区域、领域特点，分类施策、精准发力、注重实效，让市民切实感受到生态环境质量的持续改善。以下是普陀区近5年来生态环境保护部分主要指标完成情况。</w:t>
      </w:r>
    </w:p>
    <w:p w:rsidR="00FE3F1C" w:rsidRDefault="00FE3F1C">
      <w:pPr>
        <w:snapToGrid w:val="0"/>
        <w:spacing w:line="360" w:lineRule="auto"/>
        <w:ind w:firstLineChars="200" w:firstLine="480"/>
        <w:jc w:val="center"/>
        <w:rPr>
          <w:rFonts w:ascii="Times New Roman" w:eastAsia="黑体" w:hAnsi="Times New Roman"/>
          <w:bCs/>
          <w:sz w:val="24"/>
          <w:szCs w:val="24"/>
        </w:rPr>
      </w:pPr>
    </w:p>
    <w:p w:rsidR="00FE3F1C" w:rsidRDefault="00FE3F1C">
      <w:pPr>
        <w:snapToGrid w:val="0"/>
        <w:spacing w:line="360" w:lineRule="auto"/>
        <w:ind w:firstLineChars="200" w:firstLine="480"/>
        <w:jc w:val="center"/>
        <w:rPr>
          <w:rFonts w:ascii="Times New Roman" w:eastAsia="黑体" w:hAnsi="Times New Roman"/>
          <w:bCs/>
          <w:sz w:val="24"/>
          <w:szCs w:val="24"/>
        </w:rPr>
      </w:pPr>
    </w:p>
    <w:p w:rsidR="00FE3F1C" w:rsidRDefault="00FE3F1C">
      <w:pPr>
        <w:snapToGrid w:val="0"/>
        <w:spacing w:line="360" w:lineRule="auto"/>
        <w:ind w:firstLineChars="200" w:firstLine="480"/>
        <w:jc w:val="center"/>
        <w:rPr>
          <w:rFonts w:ascii="Times New Roman" w:eastAsia="黑体" w:hAnsi="Times New Roman"/>
          <w:bCs/>
          <w:sz w:val="24"/>
          <w:szCs w:val="24"/>
        </w:rPr>
      </w:pPr>
    </w:p>
    <w:p w:rsidR="00FE3F1C" w:rsidRDefault="00FE3F1C">
      <w:pPr>
        <w:snapToGrid w:val="0"/>
        <w:spacing w:line="360" w:lineRule="auto"/>
        <w:ind w:firstLineChars="200" w:firstLine="480"/>
        <w:jc w:val="center"/>
        <w:rPr>
          <w:rFonts w:ascii="Times New Roman" w:eastAsia="黑体" w:hAnsi="Times New Roman"/>
          <w:bCs/>
          <w:sz w:val="24"/>
          <w:szCs w:val="24"/>
        </w:rPr>
      </w:pPr>
    </w:p>
    <w:p w:rsidR="00FE3F1C" w:rsidRDefault="00FE3F1C">
      <w:pPr>
        <w:snapToGrid w:val="0"/>
        <w:spacing w:line="360" w:lineRule="auto"/>
        <w:ind w:firstLineChars="200" w:firstLine="480"/>
        <w:jc w:val="center"/>
        <w:rPr>
          <w:rFonts w:ascii="Times New Roman" w:eastAsia="黑体" w:hAnsi="Times New Roman"/>
          <w:bCs/>
          <w:sz w:val="24"/>
          <w:szCs w:val="24"/>
        </w:rPr>
      </w:pPr>
    </w:p>
    <w:p w:rsidR="00FE3F1C" w:rsidRDefault="00FE3F1C">
      <w:pPr>
        <w:snapToGrid w:val="0"/>
        <w:spacing w:line="360" w:lineRule="auto"/>
        <w:ind w:firstLineChars="200" w:firstLine="480"/>
        <w:jc w:val="center"/>
        <w:rPr>
          <w:rFonts w:ascii="Times New Roman" w:eastAsia="黑体" w:hAnsi="Times New Roman"/>
          <w:bCs/>
          <w:sz w:val="24"/>
          <w:szCs w:val="24"/>
        </w:rPr>
      </w:pPr>
    </w:p>
    <w:p w:rsidR="00FE3F1C" w:rsidRDefault="00FE3F1C">
      <w:pPr>
        <w:snapToGrid w:val="0"/>
        <w:spacing w:line="360" w:lineRule="auto"/>
        <w:ind w:firstLineChars="200" w:firstLine="480"/>
        <w:jc w:val="center"/>
        <w:rPr>
          <w:rFonts w:ascii="Times New Roman" w:eastAsia="黑体" w:hAnsi="Times New Roman"/>
          <w:bCs/>
          <w:sz w:val="24"/>
          <w:szCs w:val="24"/>
        </w:rPr>
      </w:pPr>
    </w:p>
    <w:p w:rsidR="00FE3F1C" w:rsidRDefault="00FE3F1C">
      <w:pPr>
        <w:snapToGrid w:val="0"/>
        <w:spacing w:line="360" w:lineRule="auto"/>
        <w:ind w:firstLineChars="200" w:firstLine="480"/>
        <w:jc w:val="center"/>
        <w:rPr>
          <w:rFonts w:ascii="Times New Roman" w:eastAsia="黑体" w:hAnsi="Times New Roman"/>
          <w:bCs/>
          <w:sz w:val="24"/>
          <w:szCs w:val="24"/>
        </w:rPr>
      </w:pPr>
    </w:p>
    <w:p w:rsidR="00FE3F1C" w:rsidRDefault="00BD38FF">
      <w:pPr>
        <w:snapToGrid w:val="0"/>
        <w:spacing w:line="360" w:lineRule="auto"/>
        <w:ind w:firstLineChars="200" w:firstLine="480"/>
        <w:jc w:val="center"/>
        <w:rPr>
          <w:rFonts w:ascii="Times New Roman" w:eastAsia="黑体" w:hAnsi="Times New Roman"/>
          <w:bCs/>
          <w:sz w:val="24"/>
          <w:szCs w:val="24"/>
        </w:rPr>
      </w:pPr>
      <w:r>
        <w:rPr>
          <w:rFonts w:ascii="Times New Roman" w:eastAsia="黑体" w:hAnsi="Times New Roman" w:hint="eastAsia"/>
          <w:bCs/>
          <w:sz w:val="24"/>
          <w:szCs w:val="24"/>
        </w:rPr>
        <w:t>表</w:t>
      </w:r>
      <w:r>
        <w:rPr>
          <w:rFonts w:ascii="Times New Roman" w:eastAsia="黑体" w:hAnsi="Times New Roman" w:hint="eastAsia"/>
          <w:bCs/>
          <w:sz w:val="24"/>
          <w:szCs w:val="24"/>
        </w:rPr>
        <w:t xml:space="preserve">1  </w:t>
      </w:r>
      <w:r>
        <w:rPr>
          <w:rFonts w:ascii="Times New Roman" w:eastAsia="黑体" w:hAnsi="Times New Roman"/>
          <w:bCs/>
          <w:sz w:val="24"/>
          <w:szCs w:val="24"/>
        </w:rPr>
        <w:t>普陀区</w:t>
      </w:r>
      <w:r>
        <w:rPr>
          <w:rFonts w:ascii="Times New Roman" w:eastAsia="黑体" w:hAnsi="Times New Roman" w:hint="eastAsia"/>
          <w:bCs/>
          <w:sz w:val="24"/>
          <w:szCs w:val="24"/>
        </w:rPr>
        <w:t>近</w:t>
      </w:r>
      <w:r>
        <w:rPr>
          <w:rFonts w:ascii="Times New Roman" w:eastAsia="黑体" w:hAnsi="Times New Roman" w:hint="eastAsia"/>
          <w:bCs/>
          <w:sz w:val="24"/>
          <w:szCs w:val="24"/>
        </w:rPr>
        <w:t>5</w:t>
      </w:r>
      <w:r>
        <w:rPr>
          <w:rFonts w:ascii="Times New Roman" w:eastAsia="黑体" w:hAnsi="Times New Roman" w:hint="eastAsia"/>
          <w:bCs/>
          <w:sz w:val="24"/>
          <w:szCs w:val="24"/>
        </w:rPr>
        <w:t>年来生态环境保护</w:t>
      </w:r>
      <w:r>
        <w:rPr>
          <w:rFonts w:eastAsia="黑体" w:hint="eastAsia"/>
          <w:bCs/>
          <w:sz w:val="24"/>
          <w:szCs w:val="24"/>
        </w:rPr>
        <w:t>部分主要</w:t>
      </w:r>
      <w:r>
        <w:rPr>
          <w:rFonts w:ascii="Times New Roman" w:eastAsia="黑体" w:hAnsi="Times New Roman"/>
          <w:bCs/>
          <w:sz w:val="24"/>
          <w:szCs w:val="24"/>
        </w:rPr>
        <w:t>指标</w:t>
      </w:r>
      <w:r>
        <w:rPr>
          <w:rFonts w:ascii="Times New Roman" w:eastAsia="黑体" w:hAnsi="Times New Roman" w:hint="eastAsia"/>
          <w:bCs/>
          <w:sz w:val="24"/>
          <w:szCs w:val="24"/>
        </w:rPr>
        <w:t>完成情况</w:t>
      </w:r>
    </w:p>
    <w:tbl>
      <w:tblPr>
        <w:tblpPr w:leftFromText="180" w:rightFromText="180" w:vertAnchor="text" w:horzAnchor="page" w:tblpX="1696" w:tblpY="145"/>
        <w:tblOverlap w:val="never"/>
        <w:tblW w:w="9368" w:type="dxa"/>
        <w:tblLayout w:type="fixed"/>
        <w:tblCellMar>
          <w:left w:w="57" w:type="dxa"/>
          <w:right w:w="57" w:type="dxa"/>
        </w:tblCellMar>
        <w:tblLook w:val="04A0" w:firstRow="1" w:lastRow="0" w:firstColumn="1" w:lastColumn="0" w:noHBand="0" w:noVBand="1"/>
      </w:tblPr>
      <w:tblGrid>
        <w:gridCol w:w="641"/>
        <w:gridCol w:w="2292"/>
        <w:gridCol w:w="1035"/>
        <w:gridCol w:w="1005"/>
        <w:gridCol w:w="1005"/>
        <w:gridCol w:w="1035"/>
        <w:gridCol w:w="1230"/>
        <w:gridCol w:w="1125"/>
      </w:tblGrid>
      <w:tr w:rsidR="00FE3F1C">
        <w:trPr>
          <w:trHeight w:val="270"/>
        </w:trPr>
        <w:tc>
          <w:tcPr>
            <w:tcW w:w="641" w:type="dxa"/>
            <w:tcBorders>
              <w:top w:val="single" w:sz="4" w:space="0" w:color="auto"/>
              <w:left w:val="single" w:sz="4" w:space="0" w:color="auto"/>
              <w:bottom w:val="single" w:sz="4" w:space="0" w:color="auto"/>
              <w:right w:val="single" w:sz="4" w:space="0" w:color="auto"/>
            </w:tcBorders>
          </w:tcPr>
          <w:p w:rsidR="00FE3F1C" w:rsidRDefault="00FE3F1C">
            <w:pPr>
              <w:widowControl/>
              <w:jc w:val="center"/>
              <w:rPr>
                <w:rFonts w:ascii="Times New Roman" w:hAnsi="Times New Roman"/>
                <w:b/>
                <w:bCs/>
                <w:kern w:val="0"/>
                <w:szCs w:val="21"/>
              </w:rPr>
            </w:pPr>
          </w:p>
          <w:p w:rsidR="00FE3F1C" w:rsidRDefault="00BD38FF">
            <w:pPr>
              <w:widowControl/>
              <w:jc w:val="center"/>
              <w:rPr>
                <w:rFonts w:ascii="Times New Roman" w:hAnsi="Times New Roman"/>
                <w:b/>
                <w:bCs/>
                <w:kern w:val="0"/>
                <w:szCs w:val="21"/>
              </w:rPr>
            </w:pPr>
            <w:r>
              <w:rPr>
                <w:rFonts w:ascii="Times New Roman" w:hAnsi="Times New Roman"/>
                <w:b/>
                <w:bCs/>
                <w:kern w:val="0"/>
                <w:szCs w:val="21"/>
              </w:rPr>
              <w:t>序号</w:t>
            </w:r>
          </w:p>
        </w:tc>
        <w:tc>
          <w:tcPr>
            <w:tcW w:w="2292" w:type="dxa"/>
            <w:tcBorders>
              <w:top w:val="single" w:sz="4" w:space="0" w:color="auto"/>
              <w:left w:val="nil"/>
              <w:bottom w:val="single" w:sz="4" w:space="0" w:color="auto"/>
              <w:right w:val="single" w:sz="4" w:space="0" w:color="auto"/>
            </w:tcBorders>
            <w:vAlign w:val="center"/>
          </w:tcPr>
          <w:p w:rsidR="00FE3F1C" w:rsidRDefault="00BD38FF">
            <w:pPr>
              <w:widowControl/>
              <w:jc w:val="center"/>
              <w:rPr>
                <w:rFonts w:ascii="Times New Roman" w:hAnsi="Times New Roman"/>
                <w:b/>
                <w:bCs/>
                <w:kern w:val="0"/>
                <w:szCs w:val="21"/>
              </w:rPr>
            </w:pPr>
            <w:r>
              <w:rPr>
                <w:rFonts w:ascii="Times New Roman" w:hAnsi="Times New Roman"/>
                <w:b/>
                <w:bCs/>
                <w:kern w:val="0"/>
                <w:szCs w:val="21"/>
              </w:rPr>
              <w:t>指标</w:t>
            </w:r>
          </w:p>
        </w:tc>
        <w:tc>
          <w:tcPr>
            <w:tcW w:w="1035" w:type="dxa"/>
            <w:tcBorders>
              <w:top w:val="single" w:sz="4" w:space="0" w:color="auto"/>
              <w:left w:val="nil"/>
              <w:bottom w:val="single" w:sz="4" w:space="0" w:color="auto"/>
              <w:right w:val="single" w:sz="4" w:space="0" w:color="auto"/>
            </w:tcBorders>
            <w:vAlign w:val="center"/>
          </w:tcPr>
          <w:p w:rsidR="00FE3F1C" w:rsidRDefault="00BD38FF">
            <w:pPr>
              <w:widowControl/>
              <w:jc w:val="center"/>
              <w:rPr>
                <w:rFonts w:ascii="Times New Roman" w:hAnsi="Times New Roman"/>
                <w:b/>
                <w:bCs/>
                <w:kern w:val="0"/>
                <w:szCs w:val="21"/>
              </w:rPr>
            </w:pPr>
            <w:r>
              <w:rPr>
                <w:rFonts w:ascii="Times New Roman" w:hAnsi="Times New Roman"/>
                <w:b/>
                <w:bCs/>
                <w:kern w:val="0"/>
                <w:szCs w:val="21"/>
              </w:rPr>
              <w:t>单位</w:t>
            </w:r>
          </w:p>
        </w:tc>
        <w:tc>
          <w:tcPr>
            <w:tcW w:w="1005" w:type="dxa"/>
            <w:tcBorders>
              <w:top w:val="single" w:sz="4" w:space="0" w:color="auto"/>
              <w:left w:val="nil"/>
              <w:bottom w:val="single" w:sz="4" w:space="0" w:color="auto"/>
              <w:right w:val="single" w:sz="4" w:space="0" w:color="auto"/>
            </w:tcBorders>
            <w:vAlign w:val="center"/>
          </w:tcPr>
          <w:p w:rsidR="00FE3F1C" w:rsidRDefault="00BD38FF">
            <w:pPr>
              <w:widowControl/>
              <w:jc w:val="center"/>
              <w:rPr>
                <w:rFonts w:ascii="Times New Roman" w:hAnsi="Times New Roman"/>
                <w:b/>
                <w:bCs/>
                <w:kern w:val="0"/>
                <w:szCs w:val="21"/>
              </w:rPr>
            </w:pPr>
            <w:r>
              <w:rPr>
                <w:rFonts w:ascii="Times New Roman" w:hAnsi="Times New Roman" w:hint="eastAsia"/>
                <w:b/>
                <w:bCs/>
                <w:kern w:val="0"/>
                <w:szCs w:val="21"/>
              </w:rPr>
              <w:t>2015</w:t>
            </w:r>
            <w:r>
              <w:rPr>
                <w:rFonts w:ascii="Times New Roman" w:hAnsi="Times New Roman" w:hint="eastAsia"/>
                <w:b/>
                <w:bCs/>
                <w:kern w:val="0"/>
                <w:szCs w:val="21"/>
              </w:rPr>
              <w:t>完</w:t>
            </w:r>
          </w:p>
          <w:p w:rsidR="00FE3F1C" w:rsidRDefault="00BD38FF">
            <w:pPr>
              <w:widowControl/>
              <w:jc w:val="center"/>
              <w:rPr>
                <w:rFonts w:ascii="Times New Roman" w:hAnsi="Times New Roman"/>
                <w:b/>
                <w:bCs/>
                <w:kern w:val="0"/>
                <w:szCs w:val="21"/>
              </w:rPr>
            </w:pPr>
            <w:r>
              <w:rPr>
                <w:rFonts w:ascii="Times New Roman" w:hAnsi="Times New Roman" w:hint="eastAsia"/>
                <w:b/>
                <w:bCs/>
                <w:kern w:val="0"/>
                <w:szCs w:val="21"/>
              </w:rPr>
              <w:t>成情况</w:t>
            </w:r>
          </w:p>
        </w:tc>
        <w:tc>
          <w:tcPr>
            <w:tcW w:w="1005" w:type="dxa"/>
            <w:tcBorders>
              <w:top w:val="single" w:sz="4" w:space="0" w:color="auto"/>
              <w:left w:val="nil"/>
              <w:bottom w:val="single" w:sz="4" w:space="0" w:color="auto"/>
              <w:right w:val="single" w:sz="4" w:space="0" w:color="auto"/>
            </w:tcBorders>
            <w:vAlign w:val="center"/>
          </w:tcPr>
          <w:p w:rsidR="00FE3F1C" w:rsidRDefault="00BD38FF">
            <w:pPr>
              <w:widowControl/>
              <w:jc w:val="center"/>
              <w:rPr>
                <w:rFonts w:ascii="Times New Roman" w:hAnsi="Times New Roman"/>
                <w:b/>
                <w:bCs/>
                <w:kern w:val="0"/>
                <w:szCs w:val="21"/>
              </w:rPr>
            </w:pPr>
            <w:r>
              <w:rPr>
                <w:rFonts w:ascii="Times New Roman" w:hAnsi="Times New Roman" w:hint="eastAsia"/>
                <w:b/>
                <w:bCs/>
                <w:kern w:val="0"/>
                <w:szCs w:val="21"/>
              </w:rPr>
              <w:t>2016</w:t>
            </w:r>
            <w:r>
              <w:rPr>
                <w:rFonts w:ascii="Times New Roman" w:hAnsi="Times New Roman" w:hint="eastAsia"/>
                <w:b/>
                <w:bCs/>
                <w:kern w:val="0"/>
                <w:szCs w:val="21"/>
              </w:rPr>
              <w:t>完</w:t>
            </w:r>
          </w:p>
          <w:p w:rsidR="00FE3F1C" w:rsidRDefault="00BD38FF">
            <w:pPr>
              <w:widowControl/>
              <w:jc w:val="center"/>
              <w:rPr>
                <w:rFonts w:ascii="Times New Roman" w:hAnsi="Times New Roman"/>
                <w:b/>
                <w:bCs/>
                <w:kern w:val="0"/>
                <w:szCs w:val="21"/>
              </w:rPr>
            </w:pPr>
            <w:r>
              <w:rPr>
                <w:rFonts w:ascii="Times New Roman" w:hAnsi="Times New Roman" w:hint="eastAsia"/>
                <w:b/>
                <w:bCs/>
                <w:kern w:val="0"/>
                <w:szCs w:val="21"/>
              </w:rPr>
              <w:t>成情况</w:t>
            </w:r>
          </w:p>
        </w:tc>
        <w:tc>
          <w:tcPr>
            <w:tcW w:w="1035" w:type="dxa"/>
            <w:tcBorders>
              <w:top w:val="single" w:sz="4" w:space="0" w:color="auto"/>
              <w:left w:val="nil"/>
              <w:bottom w:val="single" w:sz="4" w:space="0" w:color="auto"/>
              <w:right w:val="single" w:sz="4" w:space="0" w:color="auto"/>
            </w:tcBorders>
            <w:vAlign w:val="center"/>
          </w:tcPr>
          <w:p w:rsidR="00FE3F1C" w:rsidRDefault="00BD38FF">
            <w:pPr>
              <w:widowControl/>
              <w:jc w:val="center"/>
              <w:rPr>
                <w:rFonts w:ascii="Times New Roman" w:hAnsi="Times New Roman"/>
                <w:b/>
                <w:bCs/>
                <w:kern w:val="0"/>
                <w:szCs w:val="21"/>
              </w:rPr>
            </w:pPr>
            <w:r>
              <w:rPr>
                <w:rFonts w:ascii="Times New Roman" w:hAnsi="Times New Roman" w:hint="eastAsia"/>
                <w:b/>
                <w:bCs/>
                <w:kern w:val="0"/>
                <w:szCs w:val="21"/>
              </w:rPr>
              <w:t>2017</w:t>
            </w:r>
            <w:r>
              <w:rPr>
                <w:rFonts w:ascii="Times New Roman" w:hAnsi="Times New Roman" w:hint="eastAsia"/>
                <w:b/>
                <w:bCs/>
                <w:kern w:val="0"/>
                <w:szCs w:val="21"/>
              </w:rPr>
              <w:t>完</w:t>
            </w:r>
          </w:p>
          <w:p w:rsidR="00FE3F1C" w:rsidRDefault="00BD38FF">
            <w:pPr>
              <w:widowControl/>
              <w:jc w:val="center"/>
              <w:rPr>
                <w:rFonts w:ascii="Times New Roman" w:hAnsi="Times New Roman"/>
                <w:b/>
                <w:bCs/>
                <w:kern w:val="0"/>
                <w:szCs w:val="21"/>
              </w:rPr>
            </w:pPr>
            <w:r>
              <w:rPr>
                <w:rFonts w:ascii="Times New Roman" w:hAnsi="Times New Roman" w:hint="eastAsia"/>
                <w:b/>
                <w:bCs/>
                <w:kern w:val="0"/>
                <w:szCs w:val="21"/>
              </w:rPr>
              <w:t>成情况</w:t>
            </w:r>
          </w:p>
        </w:tc>
        <w:tc>
          <w:tcPr>
            <w:tcW w:w="1230" w:type="dxa"/>
            <w:tcBorders>
              <w:top w:val="single" w:sz="4" w:space="0" w:color="auto"/>
              <w:left w:val="nil"/>
              <w:bottom w:val="single" w:sz="4" w:space="0" w:color="auto"/>
              <w:right w:val="single" w:sz="4" w:space="0" w:color="auto"/>
            </w:tcBorders>
            <w:vAlign w:val="center"/>
          </w:tcPr>
          <w:p w:rsidR="00FE3F1C" w:rsidRDefault="00BD38FF">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2018</w:t>
            </w:r>
            <w:r>
              <w:rPr>
                <w:rFonts w:ascii="Times New Roman" w:hAnsi="Times New Roman" w:cs="Times New Roman" w:hint="eastAsia"/>
                <w:b/>
                <w:bCs/>
                <w:kern w:val="0"/>
                <w:szCs w:val="21"/>
              </w:rPr>
              <w:t>年</w:t>
            </w:r>
          </w:p>
          <w:p w:rsidR="00FE3F1C" w:rsidRDefault="00BD38FF">
            <w:pPr>
              <w:widowControl/>
              <w:jc w:val="center"/>
              <w:rPr>
                <w:rFonts w:ascii="Times New Roman" w:hAnsi="Times New Roman"/>
                <w:b/>
                <w:bCs/>
                <w:kern w:val="0"/>
                <w:szCs w:val="21"/>
              </w:rPr>
            </w:pPr>
            <w:r>
              <w:rPr>
                <w:rFonts w:ascii="Times New Roman" w:hAnsi="Times New Roman" w:cs="Times New Roman" w:hint="eastAsia"/>
                <w:b/>
                <w:bCs/>
                <w:kern w:val="0"/>
                <w:szCs w:val="21"/>
              </w:rPr>
              <w:t>完成情况</w:t>
            </w:r>
          </w:p>
        </w:tc>
        <w:tc>
          <w:tcPr>
            <w:tcW w:w="1125" w:type="dxa"/>
            <w:tcBorders>
              <w:top w:val="single" w:sz="4" w:space="0" w:color="auto"/>
              <w:left w:val="nil"/>
              <w:bottom w:val="single" w:sz="4" w:space="0" w:color="auto"/>
              <w:right w:val="single" w:sz="4" w:space="0" w:color="auto"/>
            </w:tcBorders>
            <w:vAlign w:val="center"/>
          </w:tcPr>
          <w:p w:rsidR="00FE3F1C" w:rsidRDefault="00BD38FF">
            <w:pPr>
              <w:widowControl/>
              <w:jc w:val="center"/>
              <w:rPr>
                <w:rFonts w:ascii="Times New Roman" w:hAnsi="Times New Roman" w:cs="Times New Roman"/>
                <w:b/>
                <w:bCs/>
                <w:kern w:val="0"/>
                <w:szCs w:val="21"/>
              </w:rPr>
            </w:pPr>
            <w:r>
              <w:rPr>
                <w:rFonts w:ascii="Times New Roman" w:hAnsi="Times New Roman" w:cs="Times New Roman" w:hint="eastAsia"/>
                <w:b/>
                <w:bCs/>
                <w:kern w:val="0"/>
                <w:szCs w:val="21"/>
              </w:rPr>
              <w:t>2019</w:t>
            </w:r>
            <w:r>
              <w:rPr>
                <w:rFonts w:ascii="Times New Roman" w:hAnsi="Times New Roman" w:cs="Times New Roman" w:hint="eastAsia"/>
                <w:b/>
                <w:bCs/>
                <w:kern w:val="0"/>
                <w:szCs w:val="21"/>
              </w:rPr>
              <w:t>年</w:t>
            </w:r>
          </w:p>
          <w:p w:rsidR="00FE3F1C" w:rsidRDefault="00BD38FF">
            <w:pPr>
              <w:widowControl/>
              <w:jc w:val="center"/>
              <w:rPr>
                <w:rFonts w:ascii="Times New Roman" w:eastAsia="宋体" w:hAnsi="Times New Roman"/>
                <w:b/>
                <w:bCs/>
                <w:kern w:val="0"/>
                <w:szCs w:val="21"/>
              </w:rPr>
            </w:pPr>
            <w:r>
              <w:rPr>
                <w:rFonts w:ascii="Times New Roman" w:hAnsi="Times New Roman" w:cs="Times New Roman" w:hint="eastAsia"/>
                <w:b/>
                <w:bCs/>
                <w:kern w:val="0"/>
                <w:szCs w:val="21"/>
              </w:rPr>
              <w:t>完成情况</w:t>
            </w:r>
          </w:p>
        </w:tc>
      </w:tr>
      <w:tr w:rsidR="00FE3F1C">
        <w:trPr>
          <w:trHeight w:val="408"/>
        </w:trPr>
        <w:tc>
          <w:tcPr>
            <w:tcW w:w="641"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kern w:val="0"/>
                <w:szCs w:val="21"/>
              </w:rPr>
              <w:t>1</w:t>
            </w:r>
          </w:p>
        </w:tc>
        <w:tc>
          <w:tcPr>
            <w:tcW w:w="2292" w:type="dxa"/>
            <w:tcBorders>
              <w:top w:val="nil"/>
              <w:left w:val="nil"/>
              <w:bottom w:val="single" w:sz="4" w:space="0" w:color="auto"/>
              <w:right w:val="single" w:sz="4" w:space="0" w:color="auto"/>
            </w:tcBorders>
            <w:vAlign w:val="center"/>
          </w:tcPr>
          <w:p w:rsidR="00FE3F1C" w:rsidRDefault="00BD38FF">
            <w:pPr>
              <w:widowControl/>
              <w:jc w:val="left"/>
              <w:rPr>
                <w:rFonts w:ascii="Times New Roman" w:hAnsi="Times New Roman"/>
                <w:kern w:val="0"/>
                <w:szCs w:val="21"/>
              </w:rPr>
            </w:pPr>
            <w:r>
              <w:rPr>
                <w:rFonts w:ascii="Times New Roman" w:hAnsi="Times New Roman"/>
                <w:kern w:val="0"/>
                <w:szCs w:val="21"/>
              </w:rPr>
              <w:t>环境空气质量</w:t>
            </w:r>
          </w:p>
          <w:p w:rsidR="00FE3F1C" w:rsidRDefault="00BD38FF">
            <w:pPr>
              <w:widowControl/>
              <w:jc w:val="lef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AQI</w:t>
            </w:r>
            <w:r>
              <w:rPr>
                <w:rFonts w:ascii="Times New Roman" w:hAnsi="Times New Roman"/>
                <w:kern w:val="0"/>
                <w:szCs w:val="21"/>
              </w:rPr>
              <w:t>）优良率</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kern w:val="0"/>
                <w:szCs w:val="21"/>
              </w:rPr>
              <w:t>%</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69.6</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76.6</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eastAsia="宋体" w:hAnsi="Times New Roman"/>
                <w:kern w:val="0"/>
                <w:szCs w:val="21"/>
              </w:rPr>
            </w:pPr>
            <w:r>
              <w:rPr>
                <w:rFonts w:ascii="Times New Roman" w:hAnsi="Times New Roman" w:hint="eastAsia"/>
                <w:kern w:val="0"/>
                <w:szCs w:val="21"/>
              </w:rPr>
              <w:t>72.3</w:t>
            </w:r>
          </w:p>
        </w:tc>
        <w:tc>
          <w:tcPr>
            <w:tcW w:w="1230"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80.8</w:t>
            </w:r>
          </w:p>
        </w:tc>
        <w:tc>
          <w:tcPr>
            <w:tcW w:w="112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eastAsia="宋体" w:hAnsi="Times New Roman"/>
                <w:kern w:val="0"/>
                <w:szCs w:val="21"/>
              </w:rPr>
            </w:pPr>
            <w:r>
              <w:rPr>
                <w:rFonts w:ascii="Times New Roman" w:hAnsi="Times New Roman" w:hint="eastAsia"/>
                <w:kern w:val="0"/>
                <w:szCs w:val="21"/>
              </w:rPr>
              <w:t>84.7</w:t>
            </w:r>
          </w:p>
        </w:tc>
      </w:tr>
      <w:tr w:rsidR="00FE3F1C">
        <w:trPr>
          <w:trHeight w:val="540"/>
        </w:trPr>
        <w:tc>
          <w:tcPr>
            <w:tcW w:w="641"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kern w:val="0"/>
                <w:szCs w:val="21"/>
              </w:rPr>
              <w:t>2</w:t>
            </w:r>
          </w:p>
        </w:tc>
        <w:tc>
          <w:tcPr>
            <w:tcW w:w="2292" w:type="dxa"/>
            <w:tcBorders>
              <w:top w:val="nil"/>
              <w:left w:val="nil"/>
              <w:bottom w:val="single" w:sz="4" w:space="0" w:color="auto"/>
              <w:right w:val="single" w:sz="4" w:space="0" w:color="auto"/>
            </w:tcBorders>
            <w:vAlign w:val="center"/>
          </w:tcPr>
          <w:p w:rsidR="00FE3F1C" w:rsidRDefault="00BD38FF">
            <w:pPr>
              <w:widowControl/>
              <w:jc w:val="left"/>
              <w:rPr>
                <w:rFonts w:ascii="Times New Roman" w:hAnsi="Times New Roman"/>
                <w:kern w:val="0"/>
                <w:szCs w:val="21"/>
              </w:rPr>
            </w:pPr>
            <w:r>
              <w:rPr>
                <w:rFonts w:ascii="Times New Roman" w:hAnsi="Times New Roman"/>
                <w:kern w:val="0"/>
                <w:szCs w:val="21"/>
              </w:rPr>
              <w:t>PM</w:t>
            </w:r>
            <w:r>
              <w:rPr>
                <w:rFonts w:ascii="Times New Roman" w:hAnsi="Times New Roman"/>
                <w:kern w:val="0"/>
                <w:szCs w:val="21"/>
                <w:vertAlign w:val="subscript"/>
              </w:rPr>
              <w:t>2.5</w:t>
            </w:r>
            <w:r>
              <w:rPr>
                <w:rFonts w:ascii="Times New Roman" w:hAnsi="Times New Roman"/>
                <w:kern w:val="0"/>
                <w:szCs w:val="21"/>
              </w:rPr>
              <w:t>年日均浓度</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kern w:val="0"/>
                <w:szCs w:val="21"/>
              </w:rPr>
              <w:t>微克</w:t>
            </w:r>
            <w:r>
              <w:rPr>
                <w:rFonts w:ascii="Times New Roman" w:hAnsi="Times New Roman"/>
                <w:kern w:val="0"/>
                <w:szCs w:val="21"/>
              </w:rPr>
              <w:t>/</w:t>
            </w:r>
          </w:p>
          <w:p w:rsidR="00FE3F1C" w:rsidRDefault="00BD38FF">
            <w:pPr>
              <w:widowControl/>
              <w:jc w:val="center"/>
              <w:rPr>
                <w:rFonts w:ascii="Times New Roman" w:hAnsi="Times New Roman"/>
                <w:kern w:val="0"/>
                <w:szCs w:val="21"/>
              </w:rPr>
            </w:pPr>
            <w:r>
              <w:rPr>
                <w:rFonts w:ascii="Times New Roman" w:hAnsi="Times New Roman"/>
                <w:kern w:val="0"/>
                <w:szCs w:val="21"/>
              </w:rPr>
              <w:t>立方米</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54</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45</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eastAsia="宋体" w:hAnsi="Times New Roman"/>
                <w:kern w:val="0"/>
                <w:szCs w:val="21"/>
              </w:rPr>
            </w:pPr>
            <w:r>
              <w:rPr>
                <w:rFonts w:ascii="Times New Roman" w:hAnsi="Times New Roman" w:hint="eastAsia"/>
                <w:kern w:val="0"/>
                <w:szCs w:val="21"/>
              </w:rPr>
              <w:t>40</w:t>
            </w:r>
          </w:p>
        </w:tc>
        <w:tc>
          <w:tcPr>
            <w:tcW w:w="1230"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37</w:t>
            </w:r>
          </w:p>
        </w:tc>
        <w:tc>
          <w:tcPr>
            <w:tcW w:w="112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eastAsia="宋体" w:hAnsi="Times New Roman"/>
                <w:kern w:val="0"/>
                <w:szCs w:val="21"/>
              </w:rPr>
            </w:pPr>
            <w:r>
              <w:rPr>
                <w:rFonts w:ascii="Times New Roman" w:hAnsi="Times New Roman" w:hint="eastAsia"/>
                <w:kern w:val="0"/>
                <w:szCs w:val="21"/>
              </w:rPr>
              <w:t>36</w:t>
            </w:r>
          </w:p>
        </w:tc>
      </w:tr>
      <w:tr w:rsidR="00FE3F1C">
        <w:trPr>
          <w:trHeight w:val="471"/>
        </w:trPr>
        <w:tc>
          <w:tcPr>
            <w:tcW w:w="641"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u w:val="single"/>
              </w:rPr>
            </w:pPr>
            <w:r>
              <w:rPr>
                <w:rFonts w:ascii="Times New Roman" w:hAnsi="Times New Roman"/>
                <w:kern w:val="0"/>
                <w:szCs w:val="21"/>
              </w:rPr>
              <w:t>3</w:t>
            </w:r>
          </w:p>
        </w:tc>
        <w:tc>
          <w:tcPr>
            <w:tcW w:w="2292" w:type="dxa"/>
            <w:tcBorders>
              <w:top w:val="nil"/>
              <w:left w:val="nil"/>
              <w:bottom w:val="single" w:sz="4" w:space="0" w:color="auto"/>
              <w:right w:val="single" w:sz="4" w:space="0" w:color="auto"/>
            </w:tcBorders>
            <w:vAlign w:val="center"/>
          </w:tcPr>
          <w:p w:rsidR="00FE3F1C" w:rsidRDefault="00BD38FF">
            <w:pPr>
              <w:widowControl/>
              <w:jc w:val="left"/>
              <w:rPr>
                <w:rFonts w:ascii="Times New Roman" w:hAnsi="Times New Roman"/>
                <w:kern w:val="0"/>
                <w:szCs w:val="21"/>
              </w:rPr>
            </w:pPr>
            <w:r>
              <w:rPr>
                <w:rFonts w:ascii="Times New Roman" w:hAnsi="Times New Roman"/>
                <w:kern w:val="0"/>
                <w:szCs w:val="21"/>
              </w:rPr>
              <w:t>区域平均降尘量</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kern w:val="0"/>
                <w:szCs w:val="21"/>
              </w:rPr>
              <w:t>吨</w:t>
            </w:r>
            <w:r>
              <w:rPr>
                <w:rFonts w:ascii="Times New Roman" w:hAnsi="Times New Roman"/>
                <w:kern w:val="0"/>
                <w:szCs w:val="21"/>
              </w:rPr>
              <w:t>/</w:t>
            </w:r>
            <w:r>
              <w:rPr>
                <w:rFonts w:ascii="Times New Roman" w:hAnsi="Times New Roman"/>
                <w:kern w:val="0"/>
                <w:szCs w:val="21"/>
              </w:rPr>
              <w:t>平方公里</w:t>
            </w:r>
            <w:r>
              <w:rPr>
                <w:rFonts w:ascii="Times New Roman" w:hAnsi="Times New Roman"/>
                <w:kern w:val="0"/>
                <w:szCs w:val="21"/>
              </w:rPr>
              <w:t>·</w:t>
            </w:r>
            <w:r>
              <w:rPr>
                <w:rFonts w:ascii="Times New Roman" w:hAnsi="Times New Roman"/>
                <w:kern w:val="0"/>
                <w:szCs w:val="21"/>
              </w:rPr>
              <w:t>月</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5.5</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5.3</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eastAsia="宋体" w:hAnsi="Times New Roman"/>
                <w:kern w:val="0"/>
                <w:szCs w:val="21"/>
              </w:rPr>
            </w:pPr>
            <w:r>
              <w:rPr>
                <w:rFonts w:ascii="Times New Roman" w:hAnsi="Times New Roman" w:hint="eastAsia"/>
                <w:kern w:val="0"/>
                <w:szCs w:val="21"/>
              </w:rPr>
              <w:t>4.9</w:t>
            </w:r>
          </w:p>
        </w:tc>
        <w:tc>
          <w:tcPr>
            <w:tcW w:w="1230"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4.5</w:t>
            </w:r>
          </w:p>
        </w:tc>
        <w:tc>
          <w:tcPr>
            <w:tcW w:w="112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eastAsia="宋体" w:hAnsi="Times New Roman"/>
                <w:kern w:val="0"/>
                <w:szCs w:val="21"/>
              </w:rPr>
            </w:pPr>
            <w:r>
              <w:rPr>
                <w:rFonts w:ascii="Times New Roman" w:hAnsi="Times New Roman" w:hint="eastAsia"/>
                <w:kern w:val="0"/>
                <w:szCs w:val="21"/>
              </w:rPr>
              <w:t>4.2</w:t>
            </w:r>
          </w:p>
        </w:tc>
      </w:tr>
      <w:tr w:rsidR="00FE3F1C">
        <w:trPr>
          <w:trHeight w:val="804"/>
        </w:trPr>
        <w:tc>
          <w:tcPr>
            <w:tcW w:w="641"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kern w:val="0"/>
                <w:szCs w:val="21"/>
              </w:rPr>
              <w:t>4</w:t>
            </w:r>
          </w:p>
        </w:tc>
        <w:tc>
          <w:tcPr>
            <w:tcW w:w="2292" w:type="dxa"/>
            <w:tcBorders>
              <w:top w:val="nil"/>
              <w:left w:val="nil"/>
              <w:bottom w:val="single" w:sz="4" w:space="0" w:color="auto"/>
              <w:right w:val="single" w:sz="4" w:space="0" w:color="auto"/>
            </w:tcBorders>
            <w:vAlign w:val="center"/>
          </w:tcPr>
          <w:p w:rsidR="00FE3F1C" w:rsidRDefault="00BD38FF">
            <w:pPr>
              <w:widowControl/>
              <w:jc w:val="left"/>
              <w:rPr>
                <w:rFonts w:ascii="Times New Roman" w:hAnsi="Times New Roman"/>
                <w:kern w:val="0"/>
                <w:szCs w:val="21"/>
              </w:rPr>
            </w:pPr>
            <w:proofErr w:type="gramStart"/>
            <w:r>
              <w:rPr>
                <w:rFonts w:ascii="Times New Roman" w:hAnsi="Times New Roman"/>
                <w:kern w:val="0"/>
                <w:szCs w:val="21"/>
              </w:rPr>
              <w:t>消除区</w:t>
            </w:r>
            <w:proofErr w:type="gramEnd"/>
            <w:r>
              <w:rPr>
                <w:rFonts w:ascii="Times New Roman" w:hAnsi="Times New Roman"/>
                <w:kern w:val="0"/>
                <w:szCs w:val="21"/>
              </w:rPr>
              <w:t>管黑臭河道</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kern w:val="0"/>
                <w:szCs w:val="21"/>
              </w:rPr>
              <w:t>条</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eastAsia="宋体" w:hAnsi="Times New Roman"/>
                <w:kern w:val="0"/>
                <w:szCs w:val="21"/>
              </w:rPr>
            </w:pPr>
            <w:r>
              <w:rPr>
                <w:rFonts w:ascii="Times New Roman" w:hAnsi="Times New Roman" w:hint="eastAsia"/>
                <w:kern w:val="0"/>
                <w:szCs w:val="21"/>
              </w:rPr>
              <w:t>--</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eastAsia="宋体" w:hAnsi="Times New Roman"/>
                <w:kern w:val="0"/>
                <w:szCs w:val="21"/>
              </w:rPr>
            </w:pPr>
            <w:r>
              <w:rPr>
                <w:rFonts w:ascii="Times New Roman" w:hAnsi="Times New Roman" w:hint="eastAsia"/>
                <w:kern w:val="0"/>
                <w:szCs w:val="21"/>
              </w:rPr>
              <w:t>22</w:t>
            </w:r>
          </w:p>
        </w:tc>
        <w:tc>
          <w:tcPr>
            <w:tcW w:w="1230" w:type="dxa"/>
            <w:tcBorders>
              <w:top w:val="nil"/>
              <w:left w:val="nil"/>
              <w:bottom w:val="single" w:sz="4" w:space="0" w:color="auto"/>
              <w:right w:val="single" w:sz="4" w:space="0" w:color="auto"/>
            </w:tcBorders>
            <w:vAlign w:val="center"/>
          </w:tcPr>
          <w:p w:rsidR="00FE3F1C" w:rsidRDefault="00BD38FF">
            <w:pPr>
              <w:widowControl/>
              <w:jc w:val="center"/>
              <w:rPr>
                <w:kern w:val="0"/>
                <w:szCs w:val="21"/>
              </w:rPr>
            </w:pPr>
            <w:r>
              <w:rPr>
                <w:rFonts w:hint="eastAsia"/>
                <w:kern w:val="0"/>
                <w:szCs w:val="21"/>
              </w:rPr>
              <w:t>全面</w:t>
            </w:r>
          </w:p>
          <w:p w:rsidR="00FE3F1C" w:rsidRDefault="00BD38FF">
            <w:pPr>
              <w:widowControl/>
              <w:jc w:val="center"/>
              <w:rPr>
                <w:rFonts w:ascii="Times New Roman" w:eastAsia="宋体" w:hAnsi="Times New Roman"/>
                <w:kern w:val="0"/>
                <w:szCs w:val="21"/>
              </w:rPr>
            </w:pPr>
            <w:r>
              <w:rPr>
                <w:rFonts w:ascii="Times New Roman" w:eastAsia="宋体" w:hAnsi="Times New Roman" w:hint="eastAsia"/>
                <w:kern w:val="0"/>
                <w:szCs w:val="21"/>
              </w:rPr>
              <w:t>消除</w:t>
            </w:r>
          </w:p>
        </w:tc>
        <w:tc>
          <w:tcPr>
            <w:tcW w:w="1125" w:type="dxa"/>
            <w:tcBorders>
              <w:top w:val="nil"/>
              <w:left w:val="nil"/>
              <w:bottom w:val="single" w:sz="4" w:space="0" w:color="auto"/>
              <w:right w:val="single" w:sz="4" w:space="0" w:color="auto"/>
            </w:tcBorders>
            <w:vAlign w:val="center"/>
          </w:tcPr>
          <w:p w:rsidR="00FE3F1C" w:rsidRDefault="00BD38FF">
            <w:pPr>
              <w:widowControl/>
              <w:jc w:val="center"/>
              <w:rPr>
                <w:kern w:val="0"/>
                <w:szCs w:val="21"/>
              </w:rPr>
            </w:pPr>
            <w:r>
              <w:rPr>
                <w:rFonts w:hint="eastAsia"/>
                <w:kern w:val="0"/>
                <w:szCs w:val="21"/>
              </w:rPr>
              <w:t>全面</w:t>
            </w:r>
          </w:p>
          <w:p w:rsidR="00FE3F1C" w:rsidRDefault="00BD38FF">
            <w:pPr>
              <w:widowControl/>
              <w:jc w:val="center"/>
              <w:rPr>
                <w:rFonts w:ascii="Times New Roman" w:eastAsia="宋体" w:hAnsi="Times New Roman"/>
                <w:kern w:val="0"/>
                <w:szCs w:val="21"/>
              </w:rPr>
            </w:pPr>
            <w:r>
              <w:rPr>
                <w:rFonts w:hint="eastAsia"/>
                <w:kern w:val="0"/>
                <w:szCs w:val="21"/>
              </w:rPr>
              <w:t>消除</w:t>
            </w:r>
          </w:p>
        </w:tc>
      </w:tr>
      <w:tr w:rsidR="00FE3F1C">
        <w:trPr>
          <w:trHeight w:val="675"/>
        </w:trPr>
        <w:tc>
          <w:tcPr>
            <w:tcW w:w="641"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5</w:t>
            </w:r>
          </w:p>
        </w:tc>
        <w:tc>
          <w:tcPr>
            <w:tcW w:w="2292" w:type="dxa"/>
            <w:tcBorders>
              <w:top w:val="nil"/>
              <w:left w:val="nil"/>
              <w:bottom w:val="single" w:sz="4" w:space="0" w:color="auto"/>
              <w:right w:val="single" w:sz="4" w:space="0" w:color="auto"/>
            </w:tcBorders>
            <w:vAlign w:val="center"/>
          </w:tcPr>
          <w:p w:rsidR="00FE3F1C" w:rsidRDefault="00BD38FF">
            <w:pPr>
              <w:widowControl/>
              <w:jc w:val="left"/>
              <w:rPr>
                <w:rFonts w:ascii="Times New Roman" w:hAnsi="Times New Roman"/>
                <w:kern w:val="0"/>
                <w:szCs w:val="21"/>
              </w:rPr>
            </w:pPr>
            <w:proofErr w:type="gramStart"/>
            <w:r>
              <w:rPr>
                <w:rFonts w:ascii="Times New Roman" w:hAnsi="Times New Roman" w:hint="eastAsia"/>
                <w:kern w:val="0"/>
                <w:szCs w:val="21"/>
              </w:rPr>
              <w:t>10</w:t>
            </w:r>
            <w:r>
              <w:rPr>
                <w:rFonts w:ascii="Times New Roman" w:hAnsi="Times New Roman" w:hint="eastAsia"/>
                <w:kern w:val="0"/>
                <w:szCs w:val="21"/>
              </w:rPr>
              <w:t>条市考河道</w:t>
            </w:r>
            <w:proofErr w:type="gramEnd"/>
            <w:r>
              <w:rPr>
                <w:rFonts w:ascii="Times New Roman" w:hAnsi="Times New Roman" w:hint="eastAsia"/>
                <w:kern w:val="0"/>
                <w:szCs w:val="21"/>
              </w:rPr>
              <w:t>达标条数</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条</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2</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3</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5</w:t>
            </w:r>
          </w:p>
        </w:tc>
        <w:tc>
          <w:tcPr>
            <w:tcW w:w="1230" w:type="dxa"/>
            <w:tcBorders>
              <w:top w:val="nil"/>
              <w:left w:val="nil"/>
              <w:bottom w:val="single" w:sz="4" w:space="0" w:color="auto"/>
              <w:right w:val="single" w:sz="4" w:space="0" w:color="auto"/>
            </w:tcBorders>
            <w:vAlign w:val="center"/>
          </w:tcPr>
          <w:p w:rsidR="00FE3F1C" w:rsidRDefault="00BD38FF">
            <w:pPr>
              <w:widowControl/>
              <w:jc w:val="center"/>
              <w:rPr>
                <w:kern w:val="0"/>
                <w:szCs w:val="21"/>
              </w:rPr>
            </w:pPr>
            <w:r>
              <w:rPr>
                <w:rFonts w:hint="eastAsia"/>
                <w:kern w:val="0"/>
                <w:szCs w:val="21"/>
              </w:rPr>
              <w:t>9</w:t>
            </w:r>
          </w:p>
        </w:tc>
        <w:tc>
          <w:tcPr>
            <w:tcW w:w="1125" w:type="dxa"/>
            <w:tcBorders>
              <w:top w:val="nil"/>
              <w:left w:val="nil"/>
              <w:bottom w:val="single" w:sz="4" w:space="0" w:color="auto"/>
              <w:right w:val="single" w:sz="4" w:space="0" w:color="auto"/>
            </w:tcBorders>
            <w:vAlign w:val="center"/>
          </w:tcPr>
          <w:p w:rsidR="00FE3F1C" w:rsidRDefault="00BD38FF">
            <w:pPr>
              <w:widowControl/>
              <w:jc w:val="center"/>
              <w:rPr>
                <w:kern w:val="0"/>
                <w:szCs w:val="21"/>
              </w:rPr>
            </w:pPr>
            <w:r>
              <w:rPr>
                <w:rFonts w:hint="eastAsia"/>
                <w:kern w:val="0"/>
                <w:szCs w:val="21"/>
              </w:rPr>
              <w:t>10</w:t>
            </w:r>
          </w:p>
        </w:tc>
      </w:tr>
      <w:tr w:rsidR="00FE3F1C">
        <w:trPr>
          <w:trHeight w:val="510"/>
        </w:trPr>
        <w:tc>
          <w:tcPr>
            <w:tcW w:w="641"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6</w:t>
            </w:r>
          </w:p>
        </w:tc>
        <w:tc>
          <w:tcPr>
            <w:tcW w:w="2292" w:type="dxa"/>
            <w:tcBorders>
              <w:top w:val="nil"/>
              <w:left w:val="nil"/>
              <w:bottom w:val="single" w:sz="4" w:space="0" w:color="auto"/>
              <w:right w:val="single" w:sz="4" w:space="0" w:color="auto"/>
            </w:tcBorders>
            <w:vAlign w:val="center"/>
          </w:tcPr>
          <w:p w:rsidR="00FE3F1C" w:rsidRDefault="00BD38FF">
            <w:pPr>
              <w:widowControl/>
              <w:jc w:val="left"/>
              <w:rPr>
                <w:rFonts w:ascii="Times New Roman" w:hAnsi="Times New Roman"/>
                <w:kern w:val="0"/>
                <w:szCs w:val="21"/>
              </w:rPr>
            </w:pPr>
            <w:r>
              <w:rPr>
                <w:rFonts w:ascii="Times New Roman" w:hAnsi="Times New Roman" w:hint="eastAsia"/>
                <w:kern w:val="0"/>
                <w:szCs w:val="21"/>
              </w:rPr>
              <w:t>全区中小河道达标率</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16.4%</w:t>
            </w:r>
          </w:p>
        </w:tc>
        <w:tc>
          <w:tcPr>
            <w:tcW w:w="100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27.8%</w:t>
            </w:r>
          </w:p>
        </w:tc>
        <w:tc>
          <w:tcPr>
            <w:tcW w:w="1035" w:type="dxa"/>
            <w:tcBorders>
              <w:top w:val="nil"/>
              <w:left w:val="nil"/>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38.9%</w:t>
            </w:r>
          </w:p>
        </w:tc>
        <w:tc>
          <w:tcPr>
            <w:tcW w:w="1230" w:type="dxa"/>
            <w:tcBorders>
              <w:top w:val="nil"/>
              <w:left w:val="nil"/>
              <w:bottom w:val="single" w:sz="4" w:space="0" w:color="auto"/>
              <w:right w:val="single" w:sz="4" w:space="0" w:color="auto"/>
            </w:tcBorders>
            <w:vAlign w:val="center"/>
          </w:tcPr>
          <w:p w:rsidR="00FE3F1C" w:rsidRDefault="00BD38FF">
            <w:pPr>
              <w:widowControl/>
              <w:jc w:val="center"/>
              <w:rPr>
                <w:kern w:val="0"/>
                <w:szCs w:val="21"/>
              </w:rPr>
            </w:pPr>
            <w:r>
              <w:rPr>
                <w:rFonts w:hint="eastAsia"/>
                <w:kern w:val="0"/>
                <w:szCs w:val="21"/>
              </w:rPr>
              <w:t>86.1%</w:t>
            </w:r>
          </w:p>
        </w:tc>
        <w:tc>
          <w:tcPr>
            <w:tcW w:w="1125" w:type="dxa"/>
            <w:tcBorders>
              <w:top w:val="nil"/>
              <w:left w:val="nil"/>
              <w:bottom w:val="single" w:sz="4" w:space="0" w:color="auto"/>
              <w:right w:val="single" w:sz="4" w:space="0" w:color="auto"/>
            </w:tcBorders>
            <w:vAlign w:val="center"/>
          </w:tcPr>
          <w:p w:rsidR="00FE3F1C" w:rsidRDefault="00BD38FF">
            <w:pPr>
              <w:widowControl/>
              <w:jc w:val="center"/>
              <w:rPr>
                <w:kern w:val="0"/>
                <w:szCs w:val="21"/>
              </w:rPr>
            </w:pPr>
            <w:r>
              <w:rPr>
                <w:rFonts w:hint="eastAsia"/>
                <w:kern w:val="0"/>
                <w:szCs w:val="21"/>
              </w:rPr>
              <w:t>94.3%</w:t>
            </w:r>
          </w:p>
        </w:tc>
      </w:tr>
      <w:tr w:rsidR="00FE3F1C">
        <w:trPr>
          <w:trHeight w:val="510"/>
        </w:trPr>
        <w:tc>
          <w:tcPr>
            <w:tcW w:w="641"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eastAsia="宋体" w:hAnsi="Times New Roman"/>
                <w:kern w:val="0"/>
                <w:szCs w:val="21"/>
              </w:rPr>
            </w:pPr>
            <w:r>
              <w:rPr>
                <w:rFonts w:hint="eastAsia"/>
                <w:kern w:val="0"/>
                <w:szCs w:val="21"/>
              </w:rPr>
              <w:t>7</w:t>
            </w:r>
          </w:p>
        </w:tc>
        <w:tc>
          <w:tcPr>
            <w:tcW w:w="2292"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left"/>
              <w:rPr>
                <w:rFonts w:ascii="Times New Roman" w:hAnsi="Times New Roman"/>
                <w:kern w:val="0"/>
                <w:szCs w:val="21"/>
              </w:rPr>
            </w:pPr>
            <w:r>
              <w:rPr>
                <w:rFonts w:ascii="Times New Roman" w:hAnsi="Times New Roman"/>
                <w:kern w:val="0"/>
                <w:szCs w:val="21"/>
              </w:rPr>
              <w:t>主要污染物减排</w:t>
            </w:r>
          </w:p>
        </w:tc>
        <w:tc>
          <w:tcPr>
            <w:tcW w:w="103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kern w:val="0"/>
                <w:szCs w:val="21"/>
              </w:rPr>
              <w:t>/</w:t>
            </w:r>
          </w:p>
        </w:tc>
        <w:tc>
          <w:tcPr>
            <w:tcW w:w="100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完成</w:t>
            </w:r>
          </w:p>
        </w:tc>
        <w:tc>
          <w:tcPr>
            <w:tcW w:w="100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完成</w:t>
            </w:r>
          </w:p>
        </w:tc>
        <w:tc>
          <w:tcPr>
            <w:tcW w:w="103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完成</w:t>
            </w:r>
          </w:p>
        </w:tc>
        <w:tc>
          <w:tcPr>
            <w:tcW w:w="1230"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完成</w:t>
            </w:r>
          </w:p>
        </w:tc>
        <w:tc>
          <w:tcPr>
            <w:tcW w:w="112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eastAsia="宋体" w:hAnsi="Times New Roman"/>
                <w:kern w:val="0"/>
                <w:szCs w:val="21"/>
              </w:rPr>
            </w:pPr>
            <w:r>
              <w:rPr>
                <w:rFonts w:ascii="Times New Roman" w:hAnsi="Times New Roman" w:hint="eastAsia"/>
                <w:kern w:val="0"/>
                <w:szCs w:val="21"/>
              </w:rPr>
              <w:t>完成</w:t>
            </w:r>
          </w:p>
        </w:tc>
      </w:tr>
      <w:tr w:rsidR="00FE3F1C">
        <w:trPr>
          <w:trHeight w:val="764"/>
        </w:trPr>
        <w:tc>
          <w:tcPr>
            <w:tcW w:w="641"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eastAsia="宋体"/>
                <w:kern w:val="0"/>
                <w:szCs w:val="21"/>
              </w:rPr>
            </w:pPr>
            <w:r>
              <w:rPr>
                <w:rFonts w:hint="eastAsia"/>
                <w:kern w:val="0"/>
                <w:szCs w:val="21"/>
              </w:rPr>
              <w:t>8</w:t>
            </w:r>
          </w:p>
        </w:tc>
        <w:tc>
          <w:tcPr>
            <w:tcW w:w="2292"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left"/>
              <w:rPr>
                <w:rFonts w:ascii="Times New Roman" w:hAnsi="Times New Roman"/>
                <w:kern w:val="0"/>
                <w:szCs w:val="21"/>
              </w:rPr>
            </w:pPr>
            <w:r>
              <w:rPr>
                <w:rFonts w:ascii="Times New Roman" w:hAnsi="Times New Roman"/>
                <w:kern w:val="0"/>
                <w:szCs w:val="21"/>
              </w:rPr>
              <w:t>开发地块污染综合</w:t>
            </w:r>
          </w:p>
          <w:p w:rsidR="00FE3F1C" w:rsidRDefault="00BD38FF">
            <w:pPr>
              <w:widowControl/>
              <w:jc w:val="left"/>
              <w:rPr>
                <w:rFonts w:ascii="Times New Roman" w:hAnsi="Times New Roman"/>
                <w:kern w:val="0"/>
                <w:szCs w:val="21"/>
              </w:rPr>
            </w:pPr>
            <w:r>
              <w:rPr>
                <w:rFonts w:ascii="Times New Roman" w:hAnsi="Times New Roman"/>
                <w:kern w:val="0"/>
                <w:szCs w:val="21"/>
              </w:rPr>
              <w:t>治理及修复率</w:t>
            </w:r>
          </w:p>
        </w:tc>
        <w:tc>
          <w:tcPr>
            <w:tcW w:w="1035" w:type="dxa"/>
            <w:tcBorders>
              <w:top w:val="single" w:sz="4" w:space="0" w:color="auto"/>
              <w:left w:val="single" w:sz="4" w:space="0" w:color="auto"/>
              <w:bottom w:val="single" w:sz="4" w:space="0" w:color="auto"/>
              <w:right w:val="single" w:sz="4" w:space="0" w:color="auto"/>
            </w:tcBorders>
          </w:tcPr>
          <w:p w:rsidR="00FE3F1C" w:rsidRDefault="00BD38FF">
            <w:pPr>
              <w:widowControl/>
              <w:jc w:val="center"/>
              <w:rPr>
                <w:rFonts w:ascii="Times New Roman" w:hAnsi="Times New Roman"/>
                <w:kern w:val="0"/>
                <w:szCs w:val="21"/>
              </w:rPr>
            </w:pPr>
            <w:r>
              <w:rPr>
                <w:rFonts w:ascii="Times New Roman" w:hAnsi="Times New Roman"/>
                <w:kern w:val="0"/>
                <w:szCs w:val="21"/>
              </w:rPr>
              <w:t>%</w:t>
            </w:r>
          </w:p>
        </w:tc>
        <w:tc>
          <w:tcPr>
            <w:tcW w:w="100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100</w:t>
            </w:r>
          </w:p>
        </w:tc>
        <w:tc>
          <w:tcPr>
            <w:tcW w:w="100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100</w:t>
            </w:r>
          </w:p>
        </w:tc>
        <w:tc>
          <w:tcPr>
            <w:tcW w:w="103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100</w:t>
            </w:r>
          </w:p>
        </w:tc>
        <w:tc>
          <w:tcPr>
            <w:tcW w:w="1230"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100</w:t>
            </w:r>
          </w:p>
        </w:tc>
        <w:tc>
          <w:tcPr>
            <w:tcW w:w="112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eastAsia="宋体" w:hAnsi="Times New Roman"/>
                <w:kern w:val="0"/>
                <w:szCs w:val="21"/>
              </w:rPr>
            </w:pPr>
            <w:r>
              <w:rPr>
                <w:rFonts w:ascii="Times New Roman" w:hAnsi="Times New Roman" w:hint="eastAsia"/>
                <w:kern w:val="0"/>
                <w:szCs w:val="21"/>
              </w:rPr>
              <w:t>100</w:t>
            </w:r>
          </w:p>
        </w:tc>
      </w:tr>
      <w:tr w:rsidR="00FE3F1C">
        <w:trPr>
          <w:trHeight w:val="710"/>
        </w:trPr>
        <w:tc>
          <w:tcPr>
            <w:tcW w:w="641"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eastAsia="宋体"/>
                <w:kern w:val="0"/>
                <w:szCs w:val="21"/>
              </w:rPr>
            </w:pPr>
            <w:r>
              <w:rPr>
                <w:rFonts w:eastAsia="宋体" w:hint="eastAsia"/>
                <w:kern w:val="0"/>
                <w:szCs w:val="21"/>
              </w:rPr>
              <w:t>9</w:t>
            </w:r>
          </w:p>
        </w:tc>
        <w:tc>
          <w:tcPr>
            <w:tcW w:w="2292"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left"/>
              <w:rPr>
                <w:rFonts w:ascii="Times New Roman" w:hAnsi="Times New Roman"/>
                <w:kern w:val="0"/>
                <w:szCs w:val="21"/>
              </w:rPr>
            </w:pPr>
            <w:r>
              <w:rPr>
                <w:rFonts w:ascii="Times New Roman" w:hAnsi="Times New Roman"/>
                <w:kern w:val="0"/>
                <w:szCs w:val="21"/>
              </w:rPr>
              <w:t>绿化覆盖率</w:t>
            </w:r>
          </w:p>
        </w:tc>
        <w:tc>
          <w:tcPr>
            <w:tcW w:w="103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kern w:val="0"/>
                <w:szCs w:val="21"/>
              </w:rPr>
              <w:t>%</w:t>
            </w:r>
          </w:p>
        </w:tc>
        <w:tc>
          <w:tcPr>
            <w:tcW w:w="100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26.21</w:t>
            </w:r>
          </w:p>
        </w:tc>
        <w:tc>
          <w:tcPr>
            <w:tcW w:w="100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26.66</w:t>
            </w:r>
          </w:p>
        </w:tc>
        <w:tc>
          <w:tcPr>
            <w:tcW w:w="103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28.11</w:t>
            </w:r>
          </w:p>
        </w:tc>
        <w:tc>
          <w:tcPr>
            <w:tcW w:w="1230"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28.56</w:t>
            </w:r>
          </w:p>
        </w:tc>
        <w:tc>
          <w:tcPr>
            <w:tcW w:w="112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28.93</w:t>
            </w:r>
          </w:p>
        </w:tc>
      </w:tr>
      <w:tr w:rsidR="00FE3F1C">
        <w:trPr>
          <w:trHeight w:val="964"/>
        </w:trPr>
        <w:tc>
          <w:tcPr>
            <w:tcW w:w="641"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eastAsia="宋体"/>
                <w:kern w:val="0"/>
                <w:szCs w:val="21"/>
              </w:rPr>
            </w:pPr>
            <w:r>
              <w:rPr>
                <w:rFonts w:hint="eastAsia"/>
                <w:kern w:val="0"/>
                <w:szCs w:val="21"/>
              </w:rPr>
              <w:t>10</w:t>
            </w:r>
          </w:p>
        </w:tc>
        <w:tc>
          <w:tcPr>
            <w:tcW w:w="2292"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left"/>
              <w:rPr>
                <w:rFonts w:ascii="Times New Roman" w:hAnsi="Times New Roman"/>
                <w:kern w:val="0"/>
                <w:szCs w:val="21"/>
              </w:rPr>
            </w:pPr>
            <w:r>
              <w:rPr>
                <w:rFonts w:ascii="Times New Roman" w:hAnsi="Times New Roman"/>
                <w:kern w:val="0"/>
                <w:szCs w:val="21"/>
              </w:rPr>
              <w:t>人均公共绿地面积</w:t>
            </w:r>
          </w:p>
        </w:tc>
        <w:tc>
          <w:tcPr>
            <w:tcW w:w="103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kern w:val="0"/>
                <w:szCs w:val="21"/>
              </w:rPr>
              <w:t>m</w:t>
            </w:r>
            <w:r>
              <w:rPr>
                <w:rFonts w:ascii="Times New Roman" w:hAnsi="Times New Roman"/>
                <w:kern w:val="0"/>
                <w:szCs w:val="21"/>
                <w:vertAlign w:val="superscript"/>
              </w:rPr>
              <w:t>2</w:t>
            </w:r>
            <w:r>
              <w:rPr>
                <w:rFonts w:ascii="Times New Roman" w:hAnsi="Times New Roman"/>
                <w:kern w:val="0"/>
                <w:szCs w:val="21"/>
              </w:rPr>
              <w:t>/</w:t>
            </w:r>
            <w:r>
              <w:rPr>
                <w:rFonts w:ascii="Times New Roman" w:hAnsi="Times New Roman"/>
                <w:kern w:val="0"/>
                <w:szCs w:val="21"/>
              </w:rPr>
              <w:t>人</w:t>
            </w:r>
          </w:p>
          <w:p w:rsidR="00FE3F1C" w:rsidRDefault="00BD38FF">
            <w:pPr>
              <w:widowControl/>
              <w:jc w:val="center"/>
              <w:rPr>
                <w:rFonts w:ascii="Times New Roman" w:eastAsia="宋体" w:hAnsi="Times New Roman"/>
                <w:kern w:val="0"/>
                <w:szCs w:val="21"/>
              </w:rPr>
            </w:pPr>
            <w:r>
              <w:rPr>
                <w:rFonts w:hint="eastAsia"/>
                <w:kern w:val="0"/>
                <w:szCs w:val="21"/>
              </w:rPr>
              <w:t>（按户籍人口统计）</w:t>
            </w:r>
          </w:p>
        </w:tc>
        <w:tc>
          <w:tcPr>
            <w:tcW w:w="100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6.8</w:t>
            </w:r>
          </w:p>
        </w:tc>
        <w:tc>
          <w:tcPr>
            <w:tcW w:w="100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6.92</w:t>
            </w:r>
          </w:p>
        </w:tc>
        <w:tc>
          <w:tcPr>
            <w:tcW w:w="103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7.47</w:t>
            </w:r>
          </w:p>
        </w:tc>
        <w:tc>
          <w:tcPr>
            <w:tcW w:w="1230"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7.59</w:t>
            </w:r>
          </w:p>
        </w:tc>
        <w:tc>
          <w:tcPr>
            <w:tcW w:w="1125" w:type="dxa"/>
            <w:tcBorders>
              <w:top w:val="single" w:sz="4" w:space="0" w:color="auto"/>
              <w:left w:val="single" w:sz="4" w:space="0" w:color="auto"/>
              <w:bottom w:val="single" w:sz="4" w:space="0" w:color="auto"/>
              <w:right w:val="single" w:sz="4" w:space="0" w:color="auto"/>
            </w:tcBorders>
            <w:vAlign w:val="center"/>
          </w:tcPr>
          <w:p w:rsidR="00FE3F1C" w:rsidRDefault="00BD38FF">
            <w:pPr>
              <w:widowControl/>
              <w:jc w:val="center"/>
              <w:rPr>
                <w:rFonts w:ascii="Times New Roman" w:hAnsi="Times New Roman"/>
                <w:kern w:val="0"/>
                <w:szCs w:val="21"/>
              </w:rPr>
            </w:pPr>
            <w:r>
              <w:rPr>
                <w:rFonts w:ascii="Times New Roman" w:hAnsi="Times New Roman" w:hint="eastAsia"/>
                <w:kern w:val="0"/>
                <w:szCs w:val="21"/>
              </w:rPr>
              <w:t>7.7</w:t>
            </w:r>
          </w:p>
        </w:tc>
      </w:tr>
    </w:tbl>
    <w:p w:rsidR="00FE3F1C" w:rsidRDefault="00FE3F1C">
      <w:pPr>
        <w:snapToGrid w:val="0"/>
        <w:spacing w:line="360" w:lineRule="auto"/>
        <w:ind w:rightChars="-349" w:right="-733" w:firstLineChars="200" w:firstLine="640"/>
        <w:rPr>
          <w:rFonts w:ascii="仿宋_GB2312" w:eastAsia="仿宋_GB2312" w:hAnsi="仿宋_GB2312" w:cs="仿宋_GB2312"/>
          <w:sz w:val="32"/>
          <w:szCs w:val="32"/>
        </w:rPr>
      </w:pPr>
    </w:p>
    <w:p w:rsidR="00FE3F1C" w:rsidRDefault="00BD38FF">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建议二：加强政策引领，打破区域行政壁垒，建立区域间自我联合、自我协调和自我发展的机制。探索一体化排水</w:t>
      </w:r>
      <w:r>
        <w:rPr>
          <w:rFonts w:ascii="仿宋_GB2312" w:eastAsia="仿宋_GB2312" w:hAnsi="仿宋_GB2312" w:cs="仿宋_GB2312" w:hint="eastAsia"/>
          <w:b/>
          <w:bCs/>
          <w:sz w:val="32"/>
          <w:szCs w:val="32"/>
        </w:rPr>
        <w:lastRenderedPageBreak/>
        <w:t>的保障政策和机制，实现共商、共建、共管、共享、共赢。研究制定统一的建设导则，形成统一严格的污染物处理排放等相关标准。建立长效对接机制，针对关键问题开展专题讨论，形成重点突破。</w:t>
      </w:r>
    </w:p>
    <w:p w:rsidR="00FE3F1C" w:rsidRDefault="00BD38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加强区和区之间的协调治理，积极探索区域间自我联合、自我协调和自我发展的机制。近几年来，我区也做了一些有益的探索，尤其在</w:t>
      </w:r>
      <w:proofErr w:type="gramStart"/>
      <w:r>
        <w:rPr>
          <w:rFonts w:ascii="仿宋_GB2312" w:eastAsia="仿宋_GB2312" w:hAnsi="仿宋_GB2312" w:cs="仿宋_GB2312" w:hint="eastAsia"/>
          <w:sz w:val="32"/>
          <w:szCs w:val="32"/>
        </w:rPr>
        <w:t>地表水消劣的</w:t>
      </w:r>
      <w:proofErr w:type="gramEnd"/>
      <w:r>
        <w:rPr>
          <w:rFonts w:ascii="仿宋_GB2312" w:eastAsia="仿宋_GB2312" w:hAnsi="仿宋_GB2312" w:cs="仿宋_GB2312" w:hint="eastAsia"/>
          <w:sz w:val="32"/>
          <w:szCs w:val="32"/>
        </w:rPr>
        <w:t>协调治理问题上，在推进西</w:t>
      </w:r>
      <w:proofErr w:type="gramStart"/>
      <w:r>
        <w:rPr>
          <w:rFonts w:ascii="仿宋_GB2312" w:eastAsia="仿宋_GB2312" w:hAnsi="仿宋_GB2312" w:cs="仿宋_GB2312" w:hint="eastAsia"/>
          <w:sz w:val="32"/>
          <w:szCs w:val="32"/>
        </w:rPr>
        <w:t>浜</w:t>
      </w:r>
      <w:proofErr w:type="gramEnd"/>
      <w:r>
        <w:rPr>
          <w:rFonts w:ascii="仿宋_GB2312" w:eastAsia="仿宋_GB2312" w:hAnsi="仿宋_GB2312" w:cs="仿宋_GB2312" w:hint="eastAsia"/>
          <w:sz w:val="32"/>
          <w:szCs w:val="32"/>
        </w:rPr>
        <w:t>、</w:t>
      </w:r>
      <w:r>
        <w:rPr>
          <w:rFonts w:ascii="仿宋" w:eastAsia="仿宋" w:hAnsi="仿宋" w:cs="仿宋" w:hint="eastAsia"/>
          <w:sz w:val="32"/>
          <w:szCs w:val="32"/>
        </w:rPr>
        <w:t>中</w:t>
      </w:r>
      <w:proofErr w:type="gramStart"/>
      <w:r>
        <w:rPr>
          <w:rFonts w:ascii="仿宋" w:eastAsia="仿宋" w:hAnsi="仿宋" w:cs="仿宋" w:hint="eastAsia"/>
          <w:sz w:val="32"/>
          <w:szCs w:val="32"/>
        </w:rPr>
        <w:t>槎</w:t>
      </w:r>
      <w:proofErr w:type="gramEnd"/>
      <w:r>
        <w:rPr>
          <w:rFonts w:ascii="仿宋" w:eastAsia="仿宋" w:hAnsi="仿宋" w:cs="仿宋" w:hint="eastAsia"/>
          <w:sz w:val="32"/>
          <w:szCs w:val="32"/>
        </w:rPr>
        <w:t>浦、新</w:t>
      </w:r>
      <w:proofErr w:type="gramStart"/>
      <w:r>
        <w:rPr>
          <w:rFonts w:ascii="仿宋" w:eastAsia="仿宋" w:hAnsi="仿宋" w:cs="仿宋" w:hint="eastAsia"/>
          <w:sz w:val="32"/>
          <w:szCs w:val="32"/>
        </w:rPr>
        <w:t>槎</w:t>
      </w:r>
      <w:proofErr w:type="gramEnd"/>
      <w:r>
        <w:rPr>
          <w:rFonts w:ascii="仿宋" w:eastAsia="仿宋" w:hAnsi="仿宋" w:cs="仿宋" w:hint="eastAsia"/>
          <w:sz w:val="32"/>
          <w:szCs w:val="32"/>
        </w:rPr>
        <w:t>浦河道治理中，我们积极和嘉定、宝山进行沟通协调，与他们</w:t>
      </w:r>
      <w:proofErr w:type="gramStart"/>
      <w:r>
        <w:rPr>
          <w:rFonts w:ascii="仿宋" w:eastAsia="仿宋" w:hAnsi="仿宋" w:cs="仿宋" w:hint="eastAsia"/>
          <w:sz w:val="32"/>
          <w:szCs w:val="32"/>
        </w:rPr>
        <w:t>建立消劣工作</w:t>
      </w:r>
      <w:proofErr w:type="gramEnd"/>
      <w:r>
        <w:rPr>
          <w:rFonts w:ascii="仿宋" w:eastAsia="仿宋" w:hAnsi="仿宋" w:cs="仿宋" w:hint="eastAsia"/>
          <w:sz w:val="32"/>
          <w:szCs w:val="32"/>
        </w:rPr>
        <w:t>协商联动机制，对跨区河道治理现状、采样配合及日常管理中发现的问题及时进行沟通，取得了较好的效果。</w:t>
      </w:r>
    </w:p>
    <w:p w:rsidR="00FE3F1C" w:rsidRDefault="00BD38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全市正在开展生态环境保护的十四五规划的编制，本市将以长三角高质量一体化发展的国家战略为依托，从区域生态环境质量全面提升的全局角度，建立一个积极完善区域环境保护协作机制、协同解决区域重点难点生态环境问题、探索区域生态环境共建共治共享新路径的平台。突出治理创新，创新体制机制增强工作合力，提升生态环境部门综合管治能力水平；创新制度形成源头严防、过程严管、惩治和激励并重的生态文明制度体系；加快形成完备的法规、标准、规范体系，严密的执法监督体系；创新模式推动社会参与治理，形成政府大力推进、市场有效驱动、公众自觉参与的环境治理体系。</w:t>
      </w:r>
    </w:p>
    <w:p w:rsidR="00FE3F1C" w:rsidRDefault="00BD38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长三角区域一体化战略下，本市搭建的生态共治共保、区域联防联控等体制机制的创新平台给本区的环境治理带</w:t>
      </w:r>
      <w:r>
        <w:rPr>
          <w:rFonts w:ascii="仿宋_GB2312" w:eastAsia="仿宋_GB2312" w:hAnsi="仿宋_GB2312" w:cs="仿宋_GB2312" w:hint="eastAsia"/>
          <w:sz w:val="32"/>
          <w:szCs w:val="32"/>
        </w:rPr>
        <w:lastRenderedPageBreak/>
        <w:t>来了新的机遇。我区将根据市生态环境保护工作构筑的新支撑，在更大范围、更大空间配置资源，促成一体化高质量发展下的区域最优配置，在创新污染治理新技术和新机制上借势取得突破，在我区进入转型发展的关键时期、全面建成“科创驱动转型实践区、宜居宜创宜业生态区”的冲刺阶段，实现生态环境根本好转。</w:t>
      </w:r>
    </w:p>
    <w:p w:rsidR="00FE3F1C" w:rsidRDefault="00BD38FF">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建议三：对于普陀区生态治理的难点和重点区域，例如桃浦河，联合上、下游区域，共同加强对沿线排水管网的调查监测力度，进一步研究污染源的特征和污染规律，并重视新技术、新措施的研究和试验。而对于桃</w:t>
      </w:r>
      <w:proofErr w:type="gramStart"/>
      <w:r>
        <w:rPr>
          <w:rFonts w:ascii="仿宋_GB2312" w:eastAsia="仿宋_GB2312" w:hAnsi="仿宋_GB2312" w:cs="仿宋_GB2312" w:hint="eastAsia"/>
          <w:b/>
          <w:bCs/>
          <w:sz w:val="32"/>
          <w:szCs w:val="32"/>
        </w:rPr>
        <w:t>浦智创城</w:t>
      </w:r>
      <w:proofErr w:type="gramEnd"/>
      <w:r>
        <w:rPr>
          <w:rFonts w:ascii="仿宋_GB2312" w:eastAsia="仿宋_GB2312" w:hAnsi="仿宋_GB2312" w:cs="仿宋_GB2312" w:hint="eastAsia"/>
          <w:b/>
          <w:bCs/>
          <w:sz w:val="32"/>
          <w:szCs w:val="32"/>
        </w:rPr>
        <w:t>这样的重点区域，除了良好生态和水环境的长效维持外，还需重视对生态环境的长期监测，积累重要数据。</w:t>
      </w:r>
    </w:p>
    <w:p w:rsidR="00FE3F1C" w:rsidRDefault="00BD38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推进重点和难点区域生态治理，加强排水管网的调查监测力度。2019年</w:t>
      </w:r>
      <w:r>
        <w:rPr>
          <w:rFonts w:ascii="仿宋_GB2312" w:eastAsia="仿宋_GB2312" w:hAnsi="仿宋_GB2312" w:cs="仿宋_GB2312"/>
          <w:sz w:val="32"/>
          <w:szCs w:val="32"/>
        </w:rPr>
        <w:t>上海市发布了《上海市城镇污水处理提质增效三年行动是实施方案（2019-2021年）》，</w:t>
      </w:r>
      <w:r>
        <w:rPr>
          <w:rFonts w:ascii="仿宋_GB2312" w:eastAsia="仿宋_GB2312" w:hAnsi="仿宋_GB2312" w:cs="仿宋_GB2312" w:hint="eastAsia"/>
          <w:sz w:val="32"/>
          <w:szCs w:val="32"/>
        </w:rPr>
        <w:t>方案提出</w:t>
      </w:r>
      <w:r>
        <w:rPr>
          <w:rFonts w:ascii="仿宋_GB2312" w:eastAsia="仿宋_GB2312" w:hAnsi="仿宋_GB2312" w:cs="仿宋_GB2312"/>
          <w:sz w:val="32"/>
          <w:szCs w:val="32"/>
        </w:rPr>
        <w:t>力争</w:t>
      </w:r>
      <w:r>
        <w:rPr>
          <w:rFonts w:ascii="仿宋_GB2312" w:eastAsia="仿宋_GB2312" w:hAnsi="仿宋_GB2312" w:cs="仿宋_GB2312" w:hint="eastAsia"/>
          <w:sz w:val="32"/>
          <w:szCs w:val="32"/>
        </w:rPr>
        <w:t>通</w:t>
      </w:r>
      <w:r>
        <w:rPr>
          <w:rFonts w:ascii="仿宋_GB2312" w:eastAsia="仿宋_GB2312" w:hAnsi="仿宋_GB2312" w:cs="仿宋_GB2312"/>
          <w:sz w:val="32"/>
          <w:szCs w:val="32"/>
        </w:rPr>
        <w:t>过3年努力，本市建成区实现无生活污水收集设施空白区，无生活污水直排口，</w:t>
      </w:r>
      <w:proofErr w:type="gramStart"/>
      <w:r>
        <w:rPr>
          <w:rFonts w:ascii="仿宋_GB2312" w:eastAsia="仿宋_GB2312" w:hAnsi="仿宋_GB2312" w:cs="仿宋_GB2312"/>
          <w:sz w:val="32"/>
          <w:szCs w:val="32"/>
        </w:rPr>
        <w:t>雨污混接</w:t>
      </w:r>
      <w:proofErr w:type="gramEnd"/>
      <w:r>
        <w:rPr>
          <w:rFonts w:ascii="仿宋_GB2312" w:eastAsia="仿宋_GB2312" w:hAnsi="仿宋_GB2312" w:cs="仿宋_GB2312"/>
          <w:sz w:val="32"/>
          <w:szCs w:val="32"/>
        </w:rPr>
        <w:t>现象全面改善，城镇污水收集处理效能显著提升，城乡中小河道治理成效得到进一步巩固。</w:t>
      </w:r>
      <w:r>
        <w:rPr>
          <w:rFonts w:ascii="仿宋_GB2312" w:eastAsia="仿宋_GB2312" w:hAnsi="仿宋_GB2312" w:cs="仿宋_GB2312" w:hint="eastAsia"/>
          <w:sz w:val="32"/>
          <w:szCs w:val="32"/>
        </w:rPr>
        <w:t>区建管委</w:t>
      </w:r>
      <w:r>
        <w:rPr>
          <w:rFonts w:ascii="仿宋_GB2312" w:eastAsia="仿宋_GB2312" w:hAnsi="仿宋_GB2312" w:cs="仿宋_GB2312"/>
          <w:sz w:val="32"/>
          <w:szCs w:val="32"/>
        </w:rPr>
        <w:t>根据文件精神，</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普陀区内18个</w:t>
      </w:r>
      <w:r>
        <w:rPr>
          <w:rFonts w:ascii="仿宋_GB2312" w:eastAsia="仿宋_GB2312" w:hAnsi="仿宋_GB2312" w:cs="仿宋_GB2312" w:hint="eastAsia"/>
          <w:sz w:val="32"/>
          <w:szCs w:val="32"/>
        </w:rPr>
        <w:t>分流制</w:t>
      </w:r>
      <w:r>
        <w:rPr>
          <w:rFonts w:ascii="仿宋_GB2312" w:eastAsia="仿宋_GB2312" w:hAnsi="仿宋_GB2312" w:cs="仿宋_GB2312"/>
          <w:sz w:val="32"/>
          <w:szCs w:val="32"/>
        </w:rPr>
        <w:t>排水系统，进行</w:t>
      </w:r>
      <w:proofErr w:type="gramStart"/>
      <w:r>
        <w:rPr>
          <w:rFonts w:ascii="仿宋_GB2312" w:eastAsia="仿宋_GB2312" w:hAnsi="仿宋_GB2312" w:cs="仿宋_GB2312"/>
          <w:sz w:val="32"/>
          <w:szCs w:val="32"/>
        </w:rPr>
        <w:t>雨污混接</w:t>
      </w:r>
      <w:proofErr w:type="gramEnd"/>
      <w:r>
        <w:rPr>
          <w:rFonts w:ascii="仿宋_GB2312" w:eastAsia="仿宋_GB2312" w:hAnsi="仿宋_GB2312" w:cs="仿宋_GB2312"/>
          <w:sz w:val="32"/>
          <w:szCs w:val="32"/>
        </w:rPr>
        <w:t>调查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并</w:t>
      </w:r>
      <w:proofErr w:type="gramStart"/>
      <w:r>
        <w:rPr>
          <w:rFonts w:ascii="仿宋_GB2312" w:eastAsia="仿宋_GB2312" w:hAnsi="仿宋_GB2312" w:cs="仿宋_GB2312"/>
          <w:sz w:val="32"/>
          <w:szCs w:val="32"/>
        </w:rPr>
        <w:t>对管龄30年</w:t>
      </w:r>
      <w:proofErr w:type="gramEnd"/>
      <w:r>
        <w:rPr>
          <w:rFonts w:ascii="仿宋_GB2312" w:eastAsia="仿宋_GB2312" w:hAnsi="仿宋_GB2312" w:cs="仿宋_GB2312"/>
          <w:sz w:val="32"/>
          <w:szCs w:val="32"/>
        </w:rPr>
        <w:t>以上排水管道进行管道结构性和功能性检测</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结构性损坏二级、三级、四级的路段</w:t>
      </w:r>
      <w:r>
        <w:rPr>
          <w:rFonts w:ascii="仿宋_GB2312" w:eastAsia="仿宋_GB2312" w:hAnsi="仿宋_GB2312" w:cs="仿宋_GB2312" w:hint="eastAsia"/>
          <w:sz w:val="32"/>
          <w:szCs w:val="32"/>
        </w:rPr>
        <w:t>计划在2021年前完成修复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目前相关工作方案和计划已基本完成，下一步将报区政府通过后实施。</w:t>
      </w:r>
    </w:p>
    <w:p w:rsidR="00FE3F1C" w:rsidRDefault="00BD38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加强桃</w:t>
      </w:r>
      <w:proofErr w:type="gramStart"/>
      <w:r>
        <w:rPr>
          <w:rFonts w:ascii="仿宋_GB2312" w:eastAsia="仿宋_GB2312" w:hAnsi="仿宋_GB2312" w:cs="仿宋_GB2312" w:hint="eastAsia"/>
          <w:sz w:val="32"/>
          <w:szCs w:val="32"/>
        </w:rPr>
        <w:t>浦智创城重点</w:t>
      </w:r>
      <w:proofErr w:type="gramEnd"/>
      <w:r>
        <w:rPr>
          <w:rFonts w:ascii="仿宋_GB2312" w:eastAsia="仿宋_GB2312" w:hAnsi="仿宋_GB2312" w:cs="仿宋_GB2312" w:hint="eastAsia"/>
          <w:sz w:val="32"/>
          <w:szCs w:val="32"/>
        </w:rPr>
        <w:t>区域的生态治理。桃</w:t>
      </w:r>
      <w:proofErr w:type="gramStart"/>
      <w:r>
        <w:rPr>
          <w:rFonts w:ascii="仿宋_GB2312" w:eastAsia="仿宋_GB2312" w:hAnsi="仿宋_GB2312" w:cs="仿宋_GB2312" w:hint="eastAsia"/>
          <w:sz w:val="32"/>
          <w:szCs w:val="32"/>
        </w:rPr>
        <w:t>浦智创城</w:t>
      </w:r>
      <w:proofErr w:type="gramEnd"/>
      <w:r>
        <w:rPr>
          <w:rFonts w:ascii="仿宋_GB2312" w:eastAsia="仿宋_GB2312" w:hAnsi="仿宋_GB2312" w:cs="仿宋_GB2312" w:hint="eastAsia"/>
          <w:sz w:val="32"/>
          <w:szCs w:val="32"/>
        </w:rPr>
        <w:t>经过</w:t>
      </w:r>
      <w:r>
        <w:rPr>
          <w:rFonts w:ascii="仿宋_GB2312" w:eastAsia="仿宋_GB2312" w:hAnsi="仿宋_GB2312" w:cs="仿宋_GB2312" w:hint="eastAsia"/>
          <w:sz w:val="32"/>
          <w:szCs w:val="32"/>
        </w:rPr>
        <w:lastRenderedPageBreak/>
        <w:t>前几年的产业结构调整，污染企业相继关停并转，城区的环境面貌焕然一新。根据区控</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，桃</w:t>
      </w:r>
      <w:proofErr w:type="gramStart"/>
      <w:r>
        <w:rPr>
          <w:rFonts w:ascii="仿宋_GB2312" w:eastAsia="仿宋_GB2312" w:hAnsi="仿宋_GB2312" w:cs="仿宋_GB2312" w:hint="eastAsia"/>
          <w:sz w:val="32"/>
          <w:szCs w:val="32"/>
        </w:rPr>
        <w:t>浦智创城</w:t>
      </w:r>
      <w:proofErr w:type="gramEnd"/>
      <w:r>
        <w:rPr>
          <w:rFonts w:ascii="仿宋_GB2312" w:eastAsia="仿宋_GB2312" w:hAnsi="仿宋_GB2312" w:cs="仿宋_GB2312" w:hint="eastAsia"/>
          <w:sz w:val="32"/>
          <w:szCs w:val="32"/>
        </w:rPr>
        <w:t>将</w:t>
      </w:r>
      <w:r>
        <w:rPr>
          <w:rFonts w:ascii="仿宋_GB2312" w:eastAsia="仿宋_GB2312" w:hAnsi="仿宋_GB2312" w:cs="仿宋_GB2312"/>
          <w:sz w:val="32"/>
          <w:szCs w:val="32"/>
        </w:rPr>
        <w:t>聚焦生态、业态、形态“</w:t>
      </w:r>
      <w:r>
        <w:rPr>
          <w:rFonts w:ascii="仿宋_GB2312" w:eastAsia="仿宋_GB2312" w:hAnsi="仿宋_GB2312" w:cs="仿宋_GB2312" w:hint="eastAsia"/>
          <w:sz w:val="32"/>
          <w:szCs w:val="32"/>
        </w:rPr>
        <w:t>三</w:t>
      </w:r>
      <w:r>
        <w:rPr>
          <w:rFonts w:ascii="仿宋_GB2312" w:eastAsia="仿宋_GB2312" w:hAnsi="仿宋_GB2312" w:cs="仿宋_GB2312"/>
          <w:sz w:val="32"/>
          <w:szCs w:val="32"/>
        </w:rPr>
        <w:t>态合一”</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转型发展目标，实践</w:t>
      </w:r>
      <w:proofErr w:type="gramStart"/>
      <w:r>
        <w:rPr>
          <w:rFonts w:ascii="仿宋_GB2312" w:eastAsia="仿宋_GB2312" w:hAnsi="仿宋_GB2312" w:cs="仿宋_GB2312"/>
          <w:sz w:val="32"/>
          <w:szCs w:val="32"/>
        </w:rPr>
        <w:t>产城整合</w:t>
      </w:r>
      <w:proofErr w:type="gramEnd"/>
      <w:r>
        <w:rPr>
          <w:rFonts w:ascii="仿宋_GB2312" w:eastAsia="仿宋_GB2312" w:hAnsi="仿宋_GB2312" w:cs="仿宋_GB2312"/>
          <w:sz w:val="32"/>
          <w:szCs w:val="32"/>
        </w:rPr>
        <w:t>、绿色低碳、人性化</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发展理念</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形成以总部商务、</w:t>
      </w:r>
      <w:r>
        <w:rPr>
          <w:rFonts w:ascii="仿宋_GB2312" w:eastAsia="仿宋_GB2312" w:hAnsi="仿宋_GB2312" w:cs="仿宋_GB2312" w:hint="eastAsia"/>
          <w:sz w:val="32"/>
          <w:szCs w:val="32"/>
        </w:rPr>
        <w:t>科技</w:t>
      </w:r>
      <w:r>
        <w:rPr>
          <w:rFonts w:ascii="仿宋_GB2312" w:eastAsia="仿宋_GB2312" w:hAnsi="仿宋_GB2312" w:cs="仿宋_GB2312"/>
          <w:sz w:val="32"/>
          <w:szCs w:val="32"/>
        </w:rPr>
        <w:t>研发、生态绿地为核心功能，</w:t>
      </w:r>
      <w:r>
        <w:rPr>
          <w:rFonts w:ascii="仿宋_GB2312" w:eastAsia="仿宋_GB2312" w:hAnsi="仿宋_GB2312" w:cs="仿宋_GB2312" w:hint="eastAsia"/>
          <w:sz w:val="32"/>
          <w:szCs w:val="32"/>
        </w:rPr>
        <w:t>居住、</w:t>
      </w:r>
      <w:r>
        <w:rPr>
          <w:rFonts w:ascii="仿宋_GB2312" w:eastAsia="仿宋_GB2312" w:hAnsi="仿宋_GB2312" w:cs="仿宋_GB2312"/>
          <w:sz w:val="32"/>
          <w:szCs w:val="32"/>
        </w:rPr>
        <w:t>服务、休闲等配套功能的综合型城区。</w:t>
      </w:r>
      <w:r>
        <w:rPr>
          <w:rFonts w:ascii="仿宋_GB2312" w:eastAsia="仿宋_GB2312" w:hAnsi="仿宋_GB2312" w:cs="仿宋_GB2312" w:hint="eastAsia"/>
          <w:sz w:val="32"/>
          <w:szCs w:val="32"/>
        </w:rPr>
        <w:t>围绕桃</w:t>
      </w:r>
      <w:proofErr w:type="gramStart"/>
      <w:r>
        <w:rPr>
          <w:rFonts w:ascii="仿宋_GB2312" w:eastAsia="仿宋_GB2312" w:hAnsi="仿宋_GB2312" w:cs="仿宋_GB2312" w:hint="eastAsia"/>
          <w:sz w:val="32"/>
          <w:szCs w:val="32"/>
        </w:rPr>
        <w:t>浦智创城地标</w:t>
      </w:r>
      <w:proofErr w:type="gramEnd"/>
      <w:r>
        <w:rPr>
          <w:rFonts w:ascii="仿宋_GB2312" w:eastAsia="仿宋_GB2312" w:hAnsi="仿宋_GB2312" w:cs="仿宋_GB2312" w:hint="eastAsia"/>
          <w:sz w:val="32"/>
          <w:szCs w:val="32"/>
        </w:rPr>
        <w:t>新一轮发展宏图，大力推进城区的生态环境建设和治理，密切跟踪地表水和环境空气质量的监测，每月按要求对城区内的中小河道开展监测，严控劣V类水体，对超标水体进行预警并沟通协调相关部门进行河道治理；跟踪大气桃</w:t>
      </w:r>
      <w:proofErr w:type="gramStart"/>
      <w:r>
        <w:rPr>
          <w:rFonts w:ascii="仿宋_GB2312" w:eastAsia="仿宋_GB2312" w:hAnsi="仿宋_GB2312" w:cs="仿宋_GB2312" w:hint="eastAsia"/>
          <w:sz w:val="32"/>
          <w:szCs w:val="32"/>
        </w:rPr>
        <w:t>浦国控</w:t>
      </w:r>
      <w:proofErr w:type="gramEnd"/>
      <w:r>
        <w:rPr>
          <w:rFonts w:ascii="仿宋_GB2312" w:eastAsia="仿宋_GB2312" w:hAnsi="仿宋_GB2312" w:cs="仿宋_GB2312" w:hint="eastAsia"/>
          <w:sz w:val="32"/>
          <w:szCs w:val="32"/>
        </w:rPr>
        <w:t>点位的监测数据，发现异常，及时向市里报告；每月收集桃浦降尘点位数据，对数据异常点位积极开展原因分析，及时解决存在问题；积极推进桃</w:t>
      </w:r>
      <w:proofErr w:type="gramStart"/>
      <w:r>
        <w:rPr>
          <w:rFonts w:ascii="仿宋_GB2312" w:eastAsia="仿宋_GB2312" w:hAnsi="仿宋_GB2312" w:cs="仿宋_GB2312" w:hint="eastAsia"/>
          <w:sz w:val="32"/>
          <w:szCs w:val="32"/>
        </w:rPr>
        <w:t>浦智创城</w:t>
      </w:r>
      <w:proofErr w:type="gramEnd"/>
      <w:r>
        <w:rPr>
          <w:rFonts w:ascii="仿宋_GB2312" w:eastAsia="仿宋_GB2312" w:hAnsi="仿宋_GB2312" w:cs="仿宋_GB2312" w:hint="eastAsia"/>
          <w:sz w:val="32"/>
          <w:szCs w:val="32"/>
        </w:rPr>
        <w:t>50公顷中央绿地建设和土壤修复试点工作，作为市区级重点工程类项目，我们每月跟踪建设进度，对存在的问题及时协调市区相关部门妥善处理。</w:t>
      </w:r>
    </w:p>
    <w:p w:rsidR="00FE3F1C" w:rsidRDefault="00BD38FF">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建议四：进一步提升普陀区河网的水质和稳固水环境治理的成果，夯实生态基础，充分落实和发挥河长制的作用，加大水岸联动的力度和广度。进一步研究生态调水与传统引调水有机结合的方案，使得泵站、水闸的调度能够为生态服务。进一步重视日常的管理和养护，打造专业化和精细化的河湖管理样板。 </w:t>
      </w:r>
    </w:p>
    <w:p w:rsidR="00FE3F1C" w:rsidRDefault="00BD38FF">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一是全面落实河长制。</w:t>
      </w:r>
      <w:r>
        <w:rPr>
          <w:rFonts w:ascii="仿宋_GB2312" w:eastAsia="仿宋_GB2312" w:hAnsi="仿宋_GB2312" w:cs="仿宋_GB2312" w:hint="eastAsia"/>
          <w:sz w:val="32"/>
          <w:szCs w:val="32"/>
        </w:rPr>
        <w:t>普陀区自2016年实施河长制以来，先后完成封堵和截污纳管716处（排放口），拆除近13万平方米沿河违法建筑，根治境内“三无船只”；推进分流</w:t>
      </w:r>
      <w:r>
        <w:rPr>
          <w:rFonts w:ascii="仿宋_GB2312" w:eastAsia="仿宋_GB2312" w:hAnsi="仿宋_GB2312" w:cs="仿宋_GB2312" w:hint="eastAsia"/>
          <w:sz w:val="32"/>
          <w:szCs w:val="32"/>
        </w:rPr>
        <w:lastRenderedPageBreak/>
        <w:t>制系统</w:t>
      </w:r>
      <w:proofErr w:type="gramStart"/>
      <w:r>
        <w:rPr>
          <w:rFonts w:ascii="仿宋_GB2312" w:eastAsia="仿宋_GB2312" w:hAnsi="仿宋_GB2312" w:cs="仿宋_GB2312" w:hint="eastAsia"/>
          <w:sz w:val="32"/>
          <w:szCs w:val="32"/>
        </w:rPr>
        <w:t>雨污混接</w:t>
      </w:r>
      <w:proofErr w:type="gramEnd"/>
      <w:r>
        <w:rPr>
          <w:rFonts w:ascii="仿宋_GB2312" w:eastAsia="仿宋_GB2312" w:hAnsi="仿宋_GB2312" w:cs="仿宋_GB2312" w:hint="eastAsia"/>
          <w:sz w:val="32"/>
          <w:szCs w:val="32"/>
        </w:rPr>
        <w:t>改造，完成11个点位市政管网混接改造、415个企事业单位和沿街商铺的混接改造；170个住宅小区混</w:t>
      </w:r>
      <w:proofErr w:type="gramStart"/>
      <w:r>
        <w:rPr>
          <w:rFonts w:ascii="仿宋_GB2312" w:eastAsia="仿宋_GB2312" w:hAnsi="仿宋_GB2312" w:cs="仿宋_GB2312" w:hint="eastAsia"/>
          <w:sz w:val="32"/>
          <w:szCs w:val="32"/>
        </w:rPr>
        <w:t>接改造</w:t>
      </w:r>
      <w:proofErr w:type="gramEnd"/>
      <w:r>
        <w:rPr>
          <w:rFonts w:ascii="仿宋_GB2312" w:eastAsia="仿宋_GB2312" w:hAnsi="仿宋_GB2312" w:cs="仿宋_GB2312" w:hint="eastAsia"/>
          <w:sz w:val="32"/>
          <w:szCs w:val="32"/>
        </w:rPr>
        <w:t>已完成163个。根据“一河</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策”方案，先后完成了39条河道的生态修复，大幅提高了地表水质，目前全区已实现2019年底将劣V类水体控制在9%以内的工作目标。</w:t>
      </w:r>
    </w:p>
    <w:p w:rsidR="00FE3F1C" w:rsidRDefault="00BD38FF">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二是关于水资源调度。</w:t>
      </w:r>
      <w:r>
        <w:rPr>
          <w:rFonts w:ascii="仿宋_GB2312" w:eastAsia="仿宋_GB2312" w:hAnsi="仿宋_GB2312" w:cs="仿宋_GB2312" w:hint="eastAsia"/>
          <w:sz w:val="32"/>
          <w:szCs w:val="32"/>
        </w:rPr>
        <w:t>按照《上海市水利控制片水资源调度方案》的相关要求，本区处于嘉宝北片与蕰南片之间，同时结合本区水闸分布及河道现状，总体实行“南引北排”引苏州河水排入蕰藻</w:t>
      </w:r>
      <w:proofErr w:type="gramStart"/>
      <w:r>
        <w:rPr>
          <w:rFonts w:ascii="仿宋_GB2312" w:eastAsia="仿宋_GB2312" w:hAnsi="仿宋_GB2312" w:cs="仿宋_GB2312" w:hint="eastAsia"/>
          <w:sz w:val="32"/>
          <w:szCs w:val="32"/>
        </w:rPr>
        <w:t>浜</w:t>
      </w:r>
      <w:proofErr w:type="gramEnd"/>
      <w:r>
        <w:rPr>
          <w:rFonts w:ascii="仿宋_GB2312" w:eastAsia="仿宋_GB2312" w:hAnsi="仿宋_GB2312" w:cs="仿宋_GB2312" w:hint="eastAsia"/>
          <w:sz w:val="32"/>
          <w:szCs w:val="32"/>
        </w:rPr>
        <w:t>方案，区域内河道“西引东排”从新</w:t>
      </w:r>
      <w:proofErr w:type="gramStart"/>
      <w:r>
        <w:rPr>
          <w:rFonts w:ascii="仿宋_GB2312" w:eastAsia="仿宋_GB2312" w:hAnsi="仿宋_GB2312" w:cs="仿宋_GB2312" w:hint="eastAsia"/>
          <w:sz w:val="32"/>
          <w:szCs w:val="32"/>
        </w:rPr>
        <w:t>槎</w:t>
      </w:r>
      <w:proofErr w:type="gramEnd"/>
      <w:r>
        <w:rPr>
          <w:rFonts w:ascii="仿宋_GB2312" w:eastAsia="仿宋_GB2312" w:hAnsi="仿宋_GB2312" w:cs="仿宋_GB2312" w:hint="eastAsia"/>
          <w:sz w:val="32"/>
          <w:szCs w:val="32"/>
        </w:rPr>
        <w:t>浦、中</w:t>
      </w:r>
      <w:proofErr w:type="gramStart"/>
      <w:r>
        <w:rPr>
          <w:rFonts w:ascii="仿宋_GB2312" w:eastAsia="仿宋_GB2312" w:hAnsi="仿宋_GB2312" w:cs="仿宋_GB2312" w:hint="eastAsia"/>
          <w:sz w:val="32"/>
          <w:szCs w:val="32"/>
        </w:rPr>
        <w:t>槎</w:t>
      </w:r>
      <w:proofErr w:type="gramEnd"/>
      <w:r>
        <w:rPr>
          <w:rFonts w:ascii="仿宋_GB2312" w:eastAsia="仿宋_GB2312" w:hAnsi="仿宋_GB2312" w:cs="仿宋_GB2312" w:hint="eastAsia"/>
          <w:sz w:val="32"/>
          <w:szCs w:val="32"/>
        </w:rPr>
        <w:t>浦引水排入桃浦河方案。利用木</w:t>
      </w:r>
      <w:proofErr w:type="gramStart"/>
      <w:r>
        <w:rPr>
          <w:rFonts w:ascii="仿宋_GB2312" w:eastAsia="仿宋_GB2312" w:hAnsi="仿宋_GB2312" w:cs="仿宋_GB2312" w:hint="eastAsia"/>
          <w:sz w:val="32"/>
          <w:szCs w:val="32"/>
        </w:rPr>
        <w:t>渎</w:t>
      </w:r>
      <w:proofErr w:type="gramEnd"/>
      <w:r>
        <w:rPr>
          <w:rFonts w:ascii="仿宋_GB2312" w:eastAsia="仿宋_GB2312" w:hAnsi="仿宋_GB2312" w:cs="仿宋_GB2312" w:hint="eastAsia"/>
          <w:sz w:val="32"/>
          <w:szCs w:val="32"/>
        </w:rPr>
        <w:t>港泵闸、新</w:t>
      </w:r>
      <w:proofErr w:type="gramStart"/>
      <w:r>
        <w:rPr>
          <w:rFonts w:ascii="仿宋_GB2312" w:eastAsia="仿宋_GB2312" w:hAnsi="仿宋_GB2312" w:cs="仿宋_GB2312" w:hint="eastAsia"/>
          <w:sz w:val="32"/>
          <w:szCs w:val="32"/>
        </w:rPr>
        <w:t>槎</w:t>
      </w:r>
      <w:proofErr w:type="gramEnd"/>
      <w:r>
        <w:rPr>
          <w:rFonts w:ascii="仿宋_GB2312" w:eastAsia="仿宋_GB2312" w:hAnsi="仿宋_GB2312" w:cs="仿宋_GB2312" w:hint="eastAsia"/>
          <w:sz w:val="32"/>
          <w:szCs w:val="32"/>
        </w:rPr>
        <w:t>浦泵闸引水，外河水位高、水动力条件好的有利时机，从各引水口、门引水，以达到增加河道水体动力，促进水体良性循环的目的。</w:t>
      </w:r>
    </w:p>
    <w:p w:rsidR="00FE3F1C" w:rsidRDefault="00BD38FF">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三是重视日常管养，打造精品河段。</w:t>
      </w:r>
      <w:r>
        <w:rPr>
          <w:rFonts w:ascii="仿宋_GB2312" w:eastAsia="仿宋_GB2312" w:hAnsi="仿宋_GB2312" w:cs="仿宋_GB2312"/>
          <w:sz w:val="32"/>
          <w:szCs w:val="32"/>
        </w:rPr>
        <w:t>在河道长效管理养护方面，</w:t>
      </w:r>
      <w:r>
        <w:rPr>
          <w:rFonts w:ascii="仿宋_GB2312" w:eastAsia="仿宋_GB2312" w:hAnsi="仿宋_GB2312" w:cs="仿宋_GB2312" w:hint="eastAsia"/>
          <w:sz w:val="32"/>
          <w:szCs w:val="32"/>
        </w:rPr>
        <w:t>对辖区</w:t>
      </w:r>
      <w:proofErr w:type="gramStart"/>
      <w:r>
        <w:rPr>
          <w:rFonts w:ascii="仿宋_GB2312" w:eastAsia="仿宋_GB2312" w:hAnsi="仿宋_GB2312" w:cs="仿宋_GB2312" w:hint="eastAsia"/>
          <w:sz w:val="32"/>
          <w:szCs w:val="32"/>
        </w:rPr>
        <w:t>区管以上</w:t>
      </w:r>
      <w:proofErr w:type="gramEnd"/>
      <w:r>
        <w:rPr>
          <w:rFonts w:ascii="仿宋_GB2312" w:eastAsia="仿宋_GB2312" w:hAnsi="仿宋_GB2312" w:cs="仿宋_GB2312" w:hint="eastAsia"/>
          <w:sz w:val="32"/>
          <w:szCs w:val="32"/>
        </w:rPr>
        <w:t>河道</w:t>
      </w:r>
      <w:r>
        <w:rPr>
          <w:rFonts w:ascii="仿宋_GB2312" w:eastAsia="仿宋_GB2312" w:hAnsi="仿宋_GB2312" w:cs="仿宋_GB2312"/>
          <w:sz w:val="32"/>
          <w:szCs w:val="32"/>
        </w:rPr>
        <w:t>巡河频次为1天1次，陆域保洁频次为1天1次，河道陆域管理范围内做到无垃圾，清扫垃圾集中处理，当日垃圾当日清除；水域保洁频次为1天2次，要求做到每5000平方米水面漂浮物控制在1平方米以下，无白色垃圾，确保河道始终水清</w:t>
      </w:r>
      <w:proofErr w:type="gramStart"/>
      <w:r>
        <w:rPr>
          <w:rFonts w:ascii="仿宋_GB2312" w:eastAsia="仿宋_GB2312" w:hAnsi="仿宋_GB2312" w:cs="仿宋_GB2312"/>
          <w:sz w:val="32"/>
          <w:szCs w:val="32"/>
        </w:rPr>
        <w:t>岸洁景</w:t>
      </w:r>
      <w:proofErr w:type="gramEnd"/>
      <w:r>
        <w:rPr>
          <w:rFonts w:ascii="仿宋_GB2312" w:eastAsia="仿宋_GB2312" w:hAnsi="仿宋_GB2312" w:cs="仿宋_GB2312"/>
          <w:sz w:val="32"/>
          <w:szCs w:val="32"/>
        </w:rPr>
        <w:t>美。</w:t>
      </w:r>
      <w:r>
        <w:rPr>
          <w:rFonts w:ascii="仿宋_GB2312" w:eastAsia="仿宋_GB2312" w:hAnsi="仿宋_GB2312" w:cs="仿宋_GB2312" w:hint="eastAsia"/>
          <w:sz w:val="32"/>
          <w:szCs w:val="32"/>
        </w:rPr>
        <w:t>在打造精品河道方面，依托河道整治成果，结合各街镇地域工作特色，在前几年建设曹杨环</w:t>
      </w:r>
      <w:proofErr w:type="gramStart"/>
      <w:r>
        <w:rPr>
          <w:rFonts w:ascii="仿宋_GB2312" w:eastAsia="仿宋_GB2312" w:hAnsi="仿宋_GB2312" w:cs="仿宋_GB2312" w:hint="eastAsia"/>
          <w:sz w:val="32"/>
          <w:szCs w:val="32"/>
        </w:rPr>
        <w:t>浜</w:t>
      </w:r>
      <w:proofErr w:type="gramEnd"/>
      <w:r>
        <w:rPr>
          <w:rFonts w:ascii="仿宋_GB2312" w:eastAsia="仿宋_GB2312" w:hAnsi="仿宋_GB2312" w:cs="仿宋_GB2312" w:hint="eastAsia"/>
          <w:sz w:val="32"/>
          <w:szCs w:val="32"/>
        </w:rPr>
        <w:t>、朝阳河、大场浦等样板河道的基础上，2019年桃浦镇南北厅、新</w:t>
      </w:r>
      <w:proofErr w:type="gramStart"/>
      <w:r>
        <w:rPr>
          <w:rFonts w:ascii="仿宋_GB2312" w:eastAsia="仿宋_GB2312" w:hAnsi="仿宋_GB2312" w:cs="仿宋_GB2312" w:hint="eastAsia"/>
          <w:sz w:val="32"/>
          <w:szCs w:val="32"/>
        </w:rPr>
        <w:t>槎浦再次</w:t>
      </w:r>
      <w:proofErr w:type="gramEnd"/>
      <w:r>
        <w:rPr>
          <w:rFonts w:ascii="仿宋_GB2312" w:eastAsia="仿宋_GB2312" w:hAnsi="仿宋_GB2312" w:cs="仿宋_GB2312" w:hint="eastAsia"/>
          <w:sz w:val="32"/>
          <w:szCs w:val="32"/>
        </w:rPr>
        <w:t>成功创建市“最美河道”和“最佳整治成果”。下一步将结合智慧城水系整治、新开金昌河等一批重点水利工程，继续建设一批水清景美的</w:t>
      </w:r>
      <w:r>
        <w:rPr>
          <w:rFonts w:ascii="仿宋_GB2312" w:eastAsia="仿宋_GB2312" w:hAnsi="仿宋_GB2312" w:cs="仿宋_GB2312" w:hint="eastAsia"/>
          <w:sz w:val="32"/>
          <w:szCs w:val="32"/>
        </w:rPr>
        <w:lastRenderedPageBreak/>
        <w:t>特色样板河道，持续提升本区河道水环境面貌。</w:t>
      </w:r>
    </w:p>
    <w:p w:rsidR="00FE3F1C" w:rsidRDefault="00BD38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当下，我区正在</w:t>
      </w:r>
      <w:proofErr w:type="gramStart"/>
      <w:r>
        <w:rPr>
          <w:rFonts w:ascii="仿宋_GB2312" w:eastAsia="仿宋_GB2312" w:hAnsi="仿宋_GB2312" w:cs="仿宋_GB2312" w:hint="eastAsia"/>
          <w:sz w:val="32"/>
          <w:szCs w:val="32"/>
        </w:rPr>
        <w:t>编制区</w:t>
      </w:r>
      <w:proofErr w:type="gramEnd"/>
      <w:r>
        <w:rPr>
          <w:rFonts w:ascii="仿宋_GB2312" w:eastAsia="仿宋_GB2312" w:hAnsi="仿宋_GB2312" w:cs="仿宋_GB2312" w:hint="eastAsia"/>
          <w:sz w:val="32"/>
          <w:szCs w:val="32"/>
        </w:rPr>
        <w:t xml:space="preserve">生态环境保护“十四五”规划和第八轮环保三年行动计划，我们将积极采纳3位委员给我们提出的宝贵建议，将构建普陀生态绿色创新发展高地的理念写入新一轮的规划和计划中，为建设美丽普陀打下坚实的生态环境基础。                  </w:t>
      </w:r>
    </w:p>
    <w:p w:rsidR="00FE3F1C" w:rsidRDefault="00BD38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衷心感谢您们长期以来对生态环境保护工作的关注和支持。</w:t>
      </w: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BD38FF" w:rsidP="00356D13">
      <w:pPr>
        <w:spacing w:line="58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普陀区生态环境局</w:t>
      </w:r>
    </w:p>
    <w:p w:rsidR="00FE3F1C" w:rsidRDefault="00BD38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356D13">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2020年5月</w:t>
      </w:r>
      <w:r w:rsidR="00596E34">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FE3F1C">
      <w:pPr>
        <w:spacing w:line="580" w:lineRule="exact"/>
        <w:ind w:firstLineChars="200" w:firstLine="640"/>
        <w:rPr>
          <w:rFonts w:ascii="仿宋_GB2312" w:eastAsia="仿宋_GB2312" w:hAnsi="仿宋_GB2312" w:cs="仿宋_GB2312"/>
          <w:sz w:val="32"/>
          <w:szCs w:val="32"/>
        </w:rPr>
      </w:pPr>
    </w:p>
    <w:p w:rsidR="00FE3F1C" w:rsidRDefault="00BD38FF">
      <w:pPr>
        <w:rPr>
          <w:rFonts w:ascii="仿宋_GB2312" w:eastAsia="仿宋_GB2312" w:hAnsi="仿宋_GB2312" w:cs="仿宋_GB2312"/>
          <w:sz w:val="30"/>
          <w:szCs w:val="30"/>
        </w:rPr>
      </w:pPr>
      <w:r>
        <w:rPr>
          <w:rFonts w:ascii="仿宋_GB2312" w:eastAsia="仿宋_GB2312" w:hAnsi="仿宋_GB2312" w:cs="仿宋_GB2312" w:hint="eastAsia"/>
          <w:sz w:val="30"/>
          <w:szCs w:val="30"/>
        </w:rPr>
        <w:t>联系人姓名：</w:t>
      </w:r>
      <w:r w:rsidR="00596E34">
        <w:rPr>
          <w:rFonts w:ascii="仿宋_GB2312" w:eastAsia="仿宋_GB2312" w:hAnsi="仿宋_GB2312" w:cs="仿宋_GB2312" w:hint="eastAsia"/>
          <w:sz w:val="30"/>
          <w:szCs w:val="30"/>
        </w:rPr>
        <w:t>徐凌</w:t>
      </w:r>
      <w:r>
        <w:rPr>
          <w:rFonts w:ascii="仿宋_GB2312" w:eastAsia="仿宋_GB2312" w:hAnsi="仿宋_GB2312" w:cs="仿宋_GB2312" w:hint="eastAsia"/>
          <w:sz w:val="30"/>
          <w:szCs w:val="30"/>
        </w:rPr>
        <w:t xml:space="preserve">              联系电话：</w:t>
      </w:r>
      <w:r w:rsidR="00596E34">
        <w:rPr>
          <w:rFonts w:ascii="仿宋_GB2312" w:eastAsia="仿宋_GB2312" w:hAnsi="仿宋_GB2312" w:cs="仿宋_GB2312" w:hint="eastAsia"/>
          <w:sz w:val="30"/>
          <w:szCs w:val="30"/>
        </w:rPr>
        <w:t>52564588*7608</w:t>
      </w:r>
    </w:p>
    <w:p w:rsidR="00FE3F1C" w:rsidRDefault="00BD38FF">
      <w:pPr>
        <w:rPr>
          <w:rFonts w:ascii="仿宋_GB2312" w:eastAsia="仿宋_GB2312" w:hAnsi="仿宋_GB2312" w:cs="仿宋_GB2312"/>
          <w:color w:val="333333"/>
          <w:kern w:val="0"/>
          <w:sz w:val="30"/>
          <w:szCs w:val="30"/>
        </w:rPr>
      </w:pPr>
      <w:r>
        <w:rPr>
          <w:rFonts w:ascii="仿宋_GB2312" w:eastAsia="仿宋_GB2312" w:hAnsi="仿宋_GB2312" w:cs="仿宋_GB2312" w:hint="eastAsia"/>
          <w:sz w:val="30"/>
          <w:szCs w:val="30"/>
        </w:rPr>
        <w:t>联系地址：铜川路1321号2号楼61</w:t>
      </w:r>
      <w:r w:rsidR="00596E34">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室        邮编：200333</w:t>
      </w:r>
    </w:p>
    <w:sectPr w:rsidR="00FE3F1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24" w:rsidRDefault="00421824">
      <w:r>
        <w:separator/>
      </w:r>
    </w:p>
  </w:endnote>
  <w:endnote w:type="continuationSeparator" w:id="0">
    <w:p w:rsidR="00421824" w:rsidRDefault="0042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C" w:rsidRDefault="00BD38F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3F1C" w:rsidRDefault="00BD38FF">
                          <w:pPr>
                            <w:pStyle w:val="a3"/>
                          </w:pPr>
                          <w:r>
                            <w:rPr>
                              <w:rFonts w:hint="eastAsia"/>
                            </w:rPr>
                            <w:fldChar w:fldCharType="begin"/>
                          </w:r>
                          <w:r>
                            <w:rPr>
                              <w:rFonts w:hint="eastAsia"/>
                            </w:rPr>
                            <w:instrText xml:space="preserve"> PAGE  \* MERGEFORMAT </w:instrText>
                          </w:r>
                          <w:r>
                            <w:rPr>
                              <w:rFonts w:hint="eastAsia"/>
                            </w:rPr>
                            <w:fldChar w:fldCharType="separate"/>
                          </w:r>
                          <w:r w:rsidR="00356D13">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E3F1C" w:rsidRDefault="00BD38FF">
                    <w:pPr>
                      <w:pStyle w:val="a3"/>
                    </w:pPr>
                    <w:r>
                      <w:rPr>
                        <w:rFonts w:hint="eastAsia"/>
                      </w:rPr>
                      <w:fldChar w:fldCharType="begin"/>
                    </w:r>
                    <w:r>
                      <w:rPr>
                        <w:rFonts w:hint="eastAsia"/>
                      </w:rPr>
                      <w:instrText xml:space="preserve"> PAGE  \* MERGEFORMAT </w:instrText>
                    </w:r>
                    <w:r>
                      <w:rPr>
                        <w:rFonts w:hint="eastAsia"/>
                      </w:rPr>
                      <w:fldChar w:fldCharType="separate"/>
                    </w:r>
                    <w:r w:rsidR="00356D13">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24" w:rsidRDefault="00421824">
      <w:r>
        <w:separator/>
      </w:r>
    </w:p>
  </w:footnote>
  <w:footnote w:type="continuationSeparator" w:id="0">
    <w:p w:rsidR="00421824" w:rsidRDefault="00421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F05A4"/>
    <w:rsid w:val="000A5777"/>
    <w:rsid w:val="00330DCC"/>
    <w:rsid w:val="00356D13"/>
    <w:rsid w:val="00421824"/>
    <w:rsid w:val="00596E34"/>
    <w:rsid w:val="00BD38FF"/>
    <w:rsid w:val="00CE11BB"/>
    <w:rsid w:val="00CE7D52"/>
    <w:rsid w:val="00FE3F1C"/>
    <w:rsid w:val="013D099E"/>
    <w:rsid w:val="01576558"/>
    <w:rsid w:val="01B17DC5"/>
    <w:rsid w:val="02211F34"/>
    <w:rsid w:val="02895883"/>
    <w:rsid w:val="033B3813"/>
    <w:rsid w:val="03AB7395"/>
    <w:rsid w:val="03E1772E"/>
    <w:rsid w:val="04196DA7"/>
    <w:rsid w:val="042713D1"/>
    <w:rsid w:val="056457A6"/>
    <w:rsid w:val="0579469C"/>
    <w:rsid w:val="064D4891"/>
    <w:rsid w:val="070B66DC"/>
    <w:rsid w:val="077B184E"/>
    <w:rsid w:val="07A84FAD"/>
    <w:rsid w:val="07E83767"/>
    <w:rsid w:val="081A4696"/>
    <w:rsid w:val="08416404"/>
    <w:rsid w:val="08476C75"/>
    <w:rsid w:val="085E43E3"/>
    <w:rsid w:val="08703EF4"/>
    <w:rsid w:val="08D837E6"/>
    <w:rsid w:val="08DB146E"/>
    <w:rsid w:val="08EC683B"/>
    <w:rsid w:val="095F49A7"/>
    <w:rsid w:val="09E72582"/>
    <w:rsid w:val="0A421F3A"/>
    <w:rsid w:val="0A4D7D82"/>
    <w:rsid w:val="0A4F154E"/>
    <w:rsid w:val="0A9A55CA"/>
    <w:rsid w:val="0B21118D"/>
    <w:rsid w:val="0B642F99"/>
    <w:rsid w:val="0B7B3092"/>
    <w:rsid w:val="0B951F79"/>
    <w:rsid w:val="0C4D6484"/>
    <w:rsid w:val="0C7709FF"/>
    <w:rsid w:val="0D4B38C8"/>
    <w:rsid w:val="0D51683F"/>
    <w:rsid w:val="0D7F5EF8"/>
    <w:rsid w:val="0E4E03E1"/>
    <w:rsid w:val="0E6E5638"/>
    <w:rsid w:val="0EC61CAA"/>
    <w:rsid w:val="0F4C3356"/>
    <w:rsid w:val="107046FD"/>
    <w:rsid w:val="112533BE"/>
    <w:rsid w:val="117C7C04"/>
    <w:rsid w:val="11871A65"/>
    <w:rsid w:val="11C956B2"/>
    <w:rsid w:val="12D75C3A"/>
    <w:rsid w:val="12E20E7C"/>
    <w:rsid w:val="13F9625B"/>
    <w:rsid w:val="148259BC"/>
    <w:rsid w:val="14CB1234"/>
    <w:rsid w:val="14FB3EE1"/>
    <w:rsid w:val="166141D8"/>
    <w:rsid w:val="16E17240"/>
    <w:rsid w:val="17082509"/>
    <w:rsid w:val="17E639F3"/>
    <w:rsid w:val="18061476"/>
    <w:rsid w:val="186D140E"/>
    <w:rsid w:val="187F1736"/>
    <w:rsid w:val="18D15C66"/>
    <w:rsid w:val="18FC62F0"/>
    <w:rsid w:val="190755EE"/>
    <w:rsid w:val="1942697F"/>
    <w:rsid w:val="19AB6D06"/>
    <w:rsid w:val="19F67AEB"/>
    <w:rsid w:val="1AA27CFB"/>
    <w:rsid w:val="1AB04869"/>
    <w:rsid w:val="1AD461E5"/>
    <w:rsid w:val="1AF2791C"/>
    <w:rsid w:val="1AF559E8"/>
    <w:rsid w:val="1AFA7A1F"/>
    <w:rsid w:val="1C386573"/>
    <w:rsid w:val="1C6915FB"/>
    <w:rsid w:val="1C6A18B2"/>
    <w:rsid w:val="1C901AA3"/>
    <w:rsid w:val="1CEF4A14"/>
    <w:rsid w:val="1D0C08DB"/>
    <w:rsid w:val="1D6433D5"/>
    <w:rsid w:val="1E5F002C"/>
    <w:rsid w:val="1E5F696A"/>
    <w:rsid w:val="1F4C1B42"/>
    <w:rsid w:val="1F5F05A4"/>
    <w:rsid w:val="1FAD4D31"/>
    <w:rsid w:val="1FDE75ED"/>
    <w:rsid w:val="205F6495"/>
    <w:rsid w:val="21870118"/>
    <w:rsid w:val="21AF778D"/>
    <w:rsid w:val="21D30619"/>
    <w:rsid w:val="22216980"/>
    <w:rsid w:val="223B4504"/>
    <w:rsid w:val="22403435"/>
    <w:rsid w:val="22930974"/>
    <w:rsid w:val="22F6223B"/>
    <w:rsid w:val="23124398"/>
    <w:rsid w:val="23835C2C"/>
    <w:rsid w:val="247D1DA1"/>
    <w:rsid w:val="250A56AB"/>
    <w:rsid w:val="26053299"/>
    <w:rsid w:val="267B0FE2"/>
    <w:rsid w:val="26962FD4"/>
    <w:rsid w:val="26BE0892"/>
    <w:rsid w:val="27204865"/>
    <w:rsid w:val="27E75A4F"/>
    <w:rsid w:val="27FF00C8"/>
    <w:rsid w:val="280F1F65"/>
    <w:rsid w:val="28856BDB"/>
    <w:rsid w:val="28B81211"/>
    <w:rsid w:val="29AB1811"/>
    <w:rsid w:val="2A456B37"/>
    <w:rsid w:val="2AAC665A"/>
    <w:rsid w:val="2AC435D9"/>
    <w:rsid w:val="2B743C75"/>
    <w:rsid w:val="2B83565E"/>
    <w:rsid w:val="2BC55F6A"/>
    <w:rsid w:val="2BDB1F70"/>
    <w:rsid w:val="2C3113D4"/>
    <w:rsid w:val="2C5E4D29"/>
    <w:rsid w:val="2C9E2FAF"/>
    <w:rsid w:val="2D0C7401"/>
    <w:rsid w:val="2D121F0C"/>
    <w:rsid w:val="2D422D16"/>
    <w:rsid w:val="2DFB0F8F"/>
    <w:rsid w:val="2E0702BD"/>
    <w:rsid w:val="2E473470"/>
    <w:rsid w:val="2E62774B"/>
    <w:rsid w:val="2F264EEC"/>
    <w:rsid w:val="2F2703D9"/>
    <w:rsid w:val="2F3B2AB9"/>
    <w:rsid w:val="2FA50A34"/>
    <w:rsid w:val="2FA70A57"/>
    <w:rsid w:val="2FB219DF"/>
    <w:rsid w:val="2FD51E85"/>
    <w:rsid w:val="306263BE"/>
    <w:rsid w:val="309D0180"/>
    <w:rsid w:val="312F1F12"/>
    <w:rsid w:val="318D54A3"/>
    <w:rsid w:val="32070B75"/>
    <w:rsid w:val="337E06A1"/>
    <w:rsid w:val="353868A0"/>
    <w:rsid w:val="35435141"/>
    <w:rsid w:val="356066CC"/>
    <w:rsid w:val="358A2437"/>
    <w:rsid w:val="36704927"/>
    <w:rsid w:val="371609CA"/>
    <w:rsid w:val="37161E02"/>
    <w:rsid w:val="3761343E"/>
    <w:rsid w:val="37FB4827"/>
    <w:rsid w:val="380F1645"/>
    <w:rsid w:val="38246C96"/>
    <w:rsid w:val="39240336"/>
    <w:rsid w:val="3B8A3F4B"/>
    <w:rsid w:val="3BCE783F"/>
    <w:rsid w:val="3CAB67FA"/>
    <w:rsid w:val="3CF11E61"/>
    <w:rsid w:val="3D20789D"/>
    <w:rsid w:val="3DA90C98"/>
    <w:rsid w:val="3E347937"/>
    <w:rsid w:val="3E6841AF"/>
    <w:rsid w:val="3E9A21EC"/>
    <w:rsid w:val="3EAD0B8D"/>
    <w:rsid w:val="3F3B6F4C"/>
    <w:rsid w:val="3F6559EA"/>
    <w:rsid w:val="3FC81809"/>
    <w:rsid w:val="402D37DB"/>
    <w:rsid w:val="407A001A"/>
    <w:rsid w:val="407C6F67"/>
    <w:rsid w:val="40A77C60"/>
    <w:rsid w:val="40AF79A3"/>
    <w:rsid w:val="41172836"/>
    <w:rsid w:val="41176829"/>
    <w:rsid w:val="41381BDE"/>
    <w:rsid w:val="413E1420"/>
    <w:rsid w:val="414763F5"/>
    <w:rsid w:val="42501AC5"/>
    <w:rsid w:val="426C1D25"/>
    <w:rsid w:val="443E3509"/>
    <w:rsid w:val="44434404"/>
    <w:rsid w:val="44934F31"/>
    <w:rsid w:val="44D52AE2"/>
    <w:rsid w:val="45F16FDD"/>
    <w:rsid w:val="46535B46"/>
    <w:rsid w:val="46EF3772"/>
    <w:rsid w:val="48727C28"/>
    <w:rsid w:val="48F145A9"/>
    <w:rsid w:val="49782229"/>
    <w:rsid w:val="49A00377"/>
    <w:rsid w:val="4B11618E"/>
    <w:rsid w:val="4B1803A0"/>
    <w:rsid w:val="4C017B8C"/>
    <w:rsid w:val="4CBB4F88"/>
    <w:rsid w:val="4CC17731"/>
    <w:rsid w:val="4CF373DC"/>
    <w:rsid w:val="4D533678"/>
    <w:rsid w:val="4D81236D"/>
    <w:rsid w:val="4DDB5F8F"/>
    <w:rsid w:val="4E066F16"/>
    <w:rsid w:val="4E2B2F2A"/>
    <w:rsid w:val="50A62C3B"/>
    <w:rsid w:val="512C22FA"/>
    <w:rsid w:val="515310AD"/>
    <w:rsid w:val="52177074"/>
    <w:rsid w:val="52AD69D5"/>
    <w:rsid w:val="52BC6E40"/>
    <w:rsid w:val="53313854"/>
    <w:rsid w:val="5336011B"/>
    <w:rsid w:val="53811A68"/>
    <w:rsid w:val="5499635D"/>
    <w:rsid w:val="54B43564"/>
    <w:rsid w:val="54CA5CE8"/>
    <w:rsid w:val="5690715B"/>
    <w:rsid w:val="56B862EA"/>
    <w:rsid w:val="571606A8"/>
    <w:rsid w:val="573E50D5"/>
    <w:rsid w:val="5753389C"/>
    <w:rsid w:val="57A045BB"/>
    <w:rsid w:val="57A67797"/>
    <w:rsid w:val="59BC4F8D"/>
    <w:rsid w:val="59F83FAF"/>
    <w:rsid w:val="5A435CEC"/>
    <w:rsid w:val="5A576754"/>
    <w:rsid w:val="5A5B35A9"/>
    <w:rsid w:val="5A5E4698"/>
    <w:rsid w:val="5AF803FF"/>
    <w:rsid w:val="5D3B45ED"/>
    <w:rsid w:val="5D902668"/>
    <w:rsid w:val="5DA950B9"/>
    <w:rsid w:val="5DB5246D"/>
    <w:rsid w:val="5F272D4D"/>
    <w:rsid w:val="5F5A6D3F"/>
    <w:rsid w:val="5FA05B33"/>
    <w:rsid w:val="5FA27BA0"/>
    <w:rsid w:val="5FF63A57"/>
    <w:rsid w:val="60392F1A"/>
    <w:rsid w:val="60616673"/>
    <w:rsid w:val="60965954"/>
    <w:rsid w:val="60D174AE"/>
    <w:rsid w:val="60DA17A0"/>
    <w:rsid w:val="61157A34"/>
    <w:rsid w:val="61702FC3"/>
    <w:rsid w:val="62111011"/>
    <w:rsid w:val="62AC043C"/>
    <w:rsid w:val="632040F1"/>
    <w:rsid w:val="638D0083"/>
    <w:rsid w:val="641F1BBB"/>
    <w:rsid w:val="642C621A"/>
    <w:rsid w:val="64DA1BCF"/>
    <w:rsid w:val="669102D0"/>
    <w:rsid w:val="68467014"/>
    <w:rsid w:val="684A61AB"/>
    <w:rsid w:val="68EE1B07"/>
    <w:rsid w:val="694D1EBA"/>
    <w:rsid w:val="695200B2"/>
    <w:rsid w:val="696C3389"/>
    <w:rsid w:val="6A3369F9"/>
    <w:rsid w:val="6A4C6F1E"/>
    <w:rsid w:val="6B4333E2"/>
    <w:rsid w:val="6B863A6B"/>
    <w:rsid w:val="6C30668A"/>
    <w:rsid w:val="6CA85FF4"/>
    <w:rsid w:val="6CB7045B"/>
    <w:rsid w:val="6D17604D"/>
    <w:rsid w:val="6D581F67"/>
    <w:rsid w:val="6D604CB7"/>
    <w:rsid w:val="6E0878B4"/>
    <w:rsid w:val="6E3E3A65"/>
    <w:rsid w:val="6ECD0794"/>
    <w:rsid w:val="6F007B3C"/>
    <w:rsid w:val="6F545303"/>
    <w:rsid w:val="6F5D3956"/>
    <w:rsid w:val="7085420D"/>
    <w:rsid w:val="717C6A97"/>
    <w:rsid w:val="71F81E28"/>
    <w:rsid w:val="720A4D34"/>
    <w:rsid w:val="72AB17A8"/>
    <w:rsid w:val="730E197A"/>
    <w:rsid w:val="736A25F2"/>
    <w:rsid w:val="73E41106"/>
    <w:rsid w:val="74BA468E"/>
    <w:rsid w:val="74EB6FFC"/>
    <w:rsid w:val="760752C6"/>
    <w:rsid w:val="760B5190"/>
    <w:rsid w:val="761D0E6D"/>
    <w:rsid w:val="7727269E"/>
    <w:rsid w:val="77623836"/>
    <w:rsid w:val="77810D7C"/>
    <w:rsid w:val="783075DB"/>
    <w:rsid w:val="78732902"/>
    <w:rsid w:val="79154512"/>
    <w:rsid w:val="7A4A1069"/>
    <w:rsid w:val="7A4B535D"/>
    <w:rsid w:val="7AA02CBE"/>
    <w:rsid w:val="7ACD4A30"/>
    <w:rsid w:val="7B225CD2"/>
    <w:rsid w:val="7C4D6817"/>
    <w:rsid w:val="7D32526A"/>
    <w:rsid w:val="7E87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ntko</cp:lastModifiedBy>
  <cp:revision>5</cp:revision>
  <cp:lastPrinted>2020-05-09T08:31:00Z</cp:lastPrinted>
  <dcterms:created xsi:type="dcterms:W3CDTF">2020-04-29T08:25:00Z</dcterms:created>
  <dcterms:modified xsi:type="dcterms:W3CDTF">2020-05-14T07:30:00Z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