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339B" w14:textId="77777777" w:rsidR="004C67AD" w:rsidRDefault="00000000">
      <w:pPr>
        <w:widowControl/>
        <w:adjustRightInd w:val="0"/>
        <w:snapToGrid w:val="0"/>
        <w:spacing w:line="336" w:lineRule="auto"/>
        <w:jc w:val="left"/>
        <w:rPr>
          <w:rFonts w:ascii="仿宋_GB2312" w:hAnsi="楷体_GB2312" w:cs="楷体_GB2312"/>
          <w:szCs w:val="32"/>
        </w:rPr>
      </w:pPr>
      <w:r>
        <w:rPr>
          <w:rFonts w:ascii="黑体" w:eastAsia="黑体" w:hAnsi="黑体" w:cs="Times New Roman" w:hint="eastAsia"/>
          <w:szCs w:val="32"/>
        </w:rPr>
        <w:t>附件1</w:t>
      </w:r>
    </w:p>
    <w:p w14:paraId="7B7D7EBF" w14:textId="77777777" w:rsidR="004C67AD" w:rsidRDefault="00000000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普陀区住宅电梯物联网建设及运行标准</w:t>
      </w:r>
    </w:p>
    <w:p w14:paraId="1874637E" w14:textId="77777777" w:rsidR="004C67AD" w:rsidRDefault="004C67AD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</w:p>
    <w:p w14:paraId="4419A739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一、硬件要求</w:t>
      </w:r>
    </w:p>
    <w:p w14:paraId="2731165E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住宅电梯物联网的硬件为一套具备电梯运行使用数据采集、处理、传输功能的电梯远程监测装置，该装置一般包含多个具备运行数据采集能力的传感器组合、1套本地数据处理终端、1套高清数字摄像头和1套网络传输装置（传输方式不限于有线宽带、无线传输4G/5G）。</w:t>
      </w:r>
    </w:p>
    <w:p w14:paraId="2133D3C4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对加装的硬件设备要求提供“上海市《智慧电梯监测终端技术要求》（DB/T 1123-2018）”符合性评价证书。</w:t>
      </w:r>
    </w:p>
    <w:p w14:paraId="5C4FC1D8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二、软件及数据服务要求</w:t>
      </w:r>
    </w:p>
    <w:p w14:paraId="7ACC6BC8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楷体_GB2312" w:eastAsia="楷体_GB2312" w:hAnsi="Times New Roman" w:cs="Times New Roman"/>
          <w:szCs w:val="32"/>
        </w:rPr>
      </w:pPr>
      <w:r>
        <w:rPr>
          <w:rFonts w:ascii="楷体_GB2312" w:eastAsia="楷体_GB2312" w:hAnsi="黑体" w:cs="Times New Roman" w:hint="eastAsia"/>
          <w:szCs w:val="32"/>
        </w:rPr>
        <w:t>（一）</w:t>
      </w:r>
      <w:r>
        <w:rPr>
          <w:rFonts w:ascii="楷体_GB2312" w:eastAsia="楷体_GB2312" w:hAnsi="Times New Roman" w:cs="Times New Roman" w:hint="eastAsia"/>
          <w:szCs w:val="32"/>
        </w:rPr>
        <w:t>接入上海市“智慧电梯”平台</w:t>
      </w:r>
    </w:p>
    <w:p w14:paraId="0F4FE294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住宅电梯物联网采集的数据涉及公共安全，应全部接入“上海市智慧电梯平台”，并纳入市、区、街镇三级“一网统管”。</w:t>
      </w:r>
    </w:p>
    <w:p w14:paraId="06B3F241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“上海市智慧电梯平台”是全市统一建设、汇集全市电梯相关物联网数据的统一平台，普陀区城运平台已与其成功对接。</w:t>
      </w:r>
    </w:p>
    <w:p w14:paraId="40615AB7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楷体_GB2312" w:eastAsia="楷体_GB2312" w:hAnsi="黑体" w:cs="Times New Roman"/>
          <w:szCs w:val="32"/>
        </w:rPr>
      </w:pPr>
      <w:r>
        <w:rPr>
          <w:rFonts w:ascii="楷体_GB2312" w:eastAsia="楷体_GB2312" w:hAnsi="黑体" w:cs="Times New Roman" w:hint="eastAsia"/>
          <w:szCs w:val="32"/>
        </w:rPr>
        <w:lastRenderedPageBreak/>
        <w:t>（二）保持实时在线</w:t>
      </w:r>
    </w:p>
    <w:p w14:paraId="71E1F3AC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住宅电梯物联网应确保实时在线，电梯运行实时参数上传频率应小于5分钟，统计参数每2</w:t>
      </w:r>
      <w:r>
        <w:rPr>
          <w:rFonts w:ascii="仿宋_GB2312" w:hAnsi="Times New Roman" w:cs="Times New Roman"/>
          <w:szCs w:val="32"/>
        </w:rPr>
        <w:t>4</w:t>
      </w:r>
      <w:r>
        <w:rPr>
          <w:rFonts w:ascii="仿宋_GB2312" w:hAnsi="Times New Roman" w:cs="Times New Roman" w:hint="eastAsia"/>
          <w:szCs w:val="32"/>
        </w:rPr>
        <w:t>小时上传，实时监控视频调用获取时长小于</w:t>
      </w:r>
      <w:r>
        <w:rPr>
          <w:rFonts w:ascii="仿宋_GB2312" w:hAnsi="Times New Roman" w:cs="Times New Roman"/>
          <w:szCs w:val="32"/>
        </w:rPr>
        <w:t>10</w:t>
      </w:r>
      <w:r>
        <w:rPr>
          <w:rFonts w:ascii="仿宋_GB2312" w:hAnsi="Times New Roman" w:cs="Times New Roman" w:hint="eastAsia"/>
          <w:szCs w:val="32"/>
        </w:rPr>
        <w:t>秒。服务周期内在线率（在线天数/服务周期天数*</w:t>
      </w:r>
      <w:r>
        <w:rPr>
          <w:rFonts w:ascii="仿宋_GB2312" w:hAnsi="Times New Roman" w:cs="Times New Roman"/>
          <w:szCs w:val="32"/>
        </w:rPr>
        <w:t>100%</w:t>
      </w:r>
      <w:r>
        <w:rPr>
          <w:rFonts w:ascii="仿宋_GB2312" w:hAnsi="Times New Roman" w:cs="Times New Roman" w:hint="eastAsia"/>
          <w:szCs w:val="32"/>
        </w:rPr>
        <w:t>）应大于9</w:t>
      </w:r>
      <w:r>
        <w:rPr>
          <w:rFonts w:ascii="仿宋_GB2312" w:hAnsi="Times New Roman" w:cs="Times New Roman"/>
          <w:szCs w:val="32"/>
        </w:rPr>
        <w:t>0%</w:t>
      </w:r>
      <w:r>
        <w:rPr>
          <w:rFonts w:ascii="仿宋_GB2312" w:hAnsi="Times New Roman" w:cs="Times New Roman" w:hint="eastAsia"/>
          <w:szCs w:val="32"/>
        </w:rPr>
        <w:t>。有以下情形之一的视为当天不在线：当天上传平台实时参数不足1</w:t>
      </w:r>
      <w:r>
        <w:rPr>
          <w:rFonts w:ascii="仿宋_GB2312" w:hAnsi="Times New Roman" w:cs="Times New Roman"/>
          <w:szCs w:val="32"/>
        </w:rPr>
        <w:t>0</w:t>
      </w:r>
      <w:r>
        <w:rPr>
          <w:rFonts w:ascii="仿宋_GB2312" w:hAnsi="Times New Roman" w:cs="Times New Roman" w:hint="eastAsia"/>
          <w:szCs w:val="32"/>
        </w:rPr>
        <w:t>项的、当天上传平台统计参数不足5项的、当天上传平台实时参数间隔超过5分钟的次数大于1</w:t>
      </w:r>
      <w:r>
        <w:rPr>
          <w:rFonts w:ascii="仿宋_GB2312" w:hAnsi="Times New Roman" w:cs="Times New Roman"/>
          <w:szCs w:val="32"/>
        </w:rPr>
        <w:t>0</w:t>
      </w:r>
      <w:r>
        <w:rPr>
          <w:rFonts w:ascii="仿宋_GB2312" w:hAnsi="Times New Roman" w:cs="Times New Roman" w:hint="eastAsia"/>
          <w:szCs w:val="32"/>
        </w:rPr>
        <w:t>次的。</w:t>
      </w:r>
    </w:p>
    <w:p w14:paraId="044DFB7C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楷体_GB2312" w:eastAsia="楷体_GB2312" w:hAnsi="黑体" w:cs="Times New Roman"/>
          <w:szCs w:val="32"/>
        </w:rPr>
      </w:pPr>
      <w:r>
        <w:rPr>
          <w:rFonts w:ascii="楷体_GB2312" w:eastAsia="楷体_GB2312" w:hAnsi="黑体" w:cs="Times New Roman" w:hint="eastAsia"/>
          <w:szCs w:val="32"/>
        </w:rPr>
        <w:t>（三）数据技术要求</w:t>
      </w:r>
    </w:p>
    <w:p w14:paraId="3EB56A09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采集的数据应同时满足《电梯、自动扶梯和自动人行道物联网的技术规范》（GB/T 24476-2017）和《智慧电梯监测终端技术要求》（DB/T 1123-2018）的要求，并能准确识别、阻止电动自行车进电梯轿厢。至少包括但不限于具体项目：</w:t>
      </w:r>
    </w:p>
    <w:p w14:paraId="50B1B8A1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1．实时参数：当前服务模式，运行状态，运行方向，开锁区域，电梯当前楼层，关门是否到位，轿内是否有人，轿门状态，厅门状态。</w:t>
      </w:r>
    </w:p>
    <w:p w14:paraId="4D04DEC4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lastRenderedPageBreak/>
        <w:t>2．统计参数：设备开门次数，设备累计运行时间，设备累计运行次数，设备钢丝绳（带）折弯次数，设备累计运行距离。</w:t>
      </w:r>
    </w:p>
    <w:p w14:paraId="4EE2DCB8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3．电梯困人：电梯困人识别及确认，避免误报。</w:t>
      </w:r>
    </w:p>
    <w:p w14:paraId="703A5EAD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4．电梯故障：</w:t>
      </w:r>
      <w:r>
        <w:rPr>
          <w:rFonts w:ascii="仿宋_GB2312" w:hAnsi="Times New Roman" w:cs="Times New Roman"/>
          <w:szCs w:val="32"/>
        </w:rPr>
        <w:t>电梯无故障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电梯运行时安全回路断路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关门故障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开门故障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轿厢在开锁区域外停止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轿厢意外移动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电动机运转时间限制器动作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其他阻止电梯再启动的故障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基准层非平层停梯报警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反复开关门报警</w:t>
      </w:r>
      <w:r>
        <w:rPr>
          <w:rFonts w:ascii="仿宋_GB2312" w:hAnsi="Times New Roman" w:cs="Times New Roman" w:hint="eastAsia"/>
          <w:szCs w:val="32"/>
        </w:rPr>
        <w:t>，</w:t>
      </w:r>
      <w:r>
        <w:rPr>
          <w:rFonts w:ascii="仿宋_GB2312" w:hAnsi="Times New Roman" w:cs="Times New Roman"/>
          <w:szCs w:val="32"/>
        </w:rPr>
        <w:t>运行中开门报警</w:t>
      </w:r>
      <w:r>
        <w:rPr>
          <w:rFonts w:ascii="仿宋_GB2312" w:hAnsi="Times New Roman" w:cs="Times New Roman" w:hint="eastAsia"/>
          <w:szCs w:val="32"/>
        </w:rPr>
        <w:t>。</w:t>
      </w:r>
    </w:p>
    <w:p w14:paraId="0A4EF8E7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5．视频监控：摄像头可实现轿厢内实时视频监控，通过视频智能识别电梯困人，相关视频可通过“一网统管”平台调用、回放、查看。鼓励配置不文明乘梯行为的监控和识别。</w:t>
      </w:r>
    </w:p>
    <w:p w14:paraId="12AF78AF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6．阻止电动自行车进电梯轿厢：摄像头可实现轿厢内实时视频监控，通过视频智能识别电动自行车</w:t>
      </w:r>
      <w:r>
        <w:rPr>
          <w:rFonts w:ascii="仿宋_GB2312" w:hAnsi="Times New Roman" w:cs="Times New Roman"/>
          <w:szCs w:val="32"/>
        </w:rPr>
        <w:t>进</w:t>
      </w:r>
      <w:r>
        <w:rPr>
          <w:rFonts w:ascii="仿宋_GB2312" w:hAnsi="Times New Roman" w:cs="Times New Roman" w:hint="eastAsia"/>
          <w:szCs w:val="32"/>
        </w:rPr>
        <w:t>电梯</w:t>
      </w:r>
      <w:r>
        <w:rPr>
          <w:rFonts w:ascii="仿宋_GB2312" w:hAnsi="Times New Roman" w:cs="Times New Roman"/>
          <w:szCs w:val="32"/>
        </w:rPr>
        <w:t>轿厢</w:t>
      </w:r>
      <w:r>
        <w:rPr>
          <w:rFonts w:ascii="仿宋_GB2312" w:hAnsi="Times New Roman" w:cs="Times New Roman" w:hint="eastAsia"/>
          <w:szCs w:val="32"/>
        </w:rPr>
        <w:t>，并报警、阻止电梯关门运行。相关视频可通过“一网统管”平台调用、回放、查看。</w:t>
      </w:r>
    </w:p>
    <w:p w14:paraId="70B57EFA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以上软件及数据服务要求由“上海市智慧电梯平台”验证其合规性。</w:t>
      </w:r>
    </w:p>
    <w:p w14:paraId="7DD53FDE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楷体_GB2312" w:eastAsia="楷体_GB2312" w:hAnsi="黑体" w:cs="Times New Roman"/>
          <w:szCs w:val="32"/>
        </w:rPr>
      </w:pPr>
      <w:r>
        <w:rPr>
          <w:rFonts w:ascii="楷体_GB2312" w:eastAsia="楷体_GB2312" w:hAnsi="黑体" w:cs="Times New Roman" w:hint="eastAsia"/>
          <w:szCs w:val="32"/>
        </w:rPr>
        <w:lastRenderedPageBreak/>
        <w:t>（四）保险</w:t>
      </w:r>
    </w:p>
    <w:p w14:paraId="79001C02" w14:textId="1CE91E03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按照上海市电梯行业协会官方网站的指引，在上海市电梯保险公共服务平台上投保电梯安全责任险。建议投保基础款：保费100元/台/年，每年每人每次限赔100万，每年累计限赔1000万。</w:t>
      </w:r>
    </w:p>
    <w:p w14:paraId="143F7C61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三、实现功能</w:t>
      </w:r>
    </w:p>
    <w:p w14:paraId="62934E42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普陀区住宅电梯物联网应实现以下功能，至少包括但不限于：</w:t>
      </w:r>
    </w:p>
    <w:p w14:paraId="482E1C95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（一）实时监测电梯状态，完整记录故障。</w:t>
      </w:r>
    </w:p>
    <w:p w14:paraId="2C0B5B78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（二）自动发现电梯困人，自动报警救援。</w:t>
      </w:r>
    </w:p>
    <w:p w14:paraId="4AC0CE2E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（三）阻止电动自行车进电梯，管控火灾风险。</w:t>
      </w:r>
    </w:p>
    <w:p w14:paraId="61B28E67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（四）投保电梯安全责任险，防患于未然。</w:t>
      </w:r>
    </w:p>
    <w:p w14:paraId="1A0E0180" w14:textId="77777777" w:rsidR="004C67AD" w:rsidRDefault="00000000">
      <w:pPr>
        <w:adjustRightInd w:val="0"/>
        <w:snapToGrid w:val="0"/>
        <w:spacing w:line="336" w:lineRule="auto"/>
        <w:ind w:firstLineChars="200" w:firstLine="632"/>
        <w:rPr>
          <w:rFonts w:ascii="仿宋_GB2312" w:hAnsi="Times New Roman" w:cs="Times New Roman"/>
          <w:szCs w:val="32"/>
        </w:rPr>
      </w:pPr>
      <w:r>
        <w:rPr>
          <w:rFonts w:ascii="仿宋_GB2312" w:hAnsi="Times New Roman" w:cs="Times New Roman" w:hint="eastAsia"/>
          <w:szCs w:val="32"/>
        </w:rPr>
        <w:t>鼓励实现不文明乘梯行为的识别和报警。</w:t>
      </w:r>
    </w:p>
    <w:p w14:paraId="265C5D8C" w14:textId="77777777" w:rsidR="004C67AD" w:rsidRDefault="004C67AD">
      <w:pPr>
        <w:widowControl/>
        <w:jc w:val="left"/>
        <w:rPr>
          <w:rFonts w:ascii="黑体" w:eastAsia="黑体" w:hAnsi="黑体" w:cs="Times New Roman"/>
          <w:szCs w:val="32"/>
        </w:rPr>
        <w:sectPr w:rsidR="004C67AD">
          <w:footerReference w:type="even" r:id="rId7"/>
          <w:footerReference w:type="default" r:id="rId8"/>
          <w:pgSz w:w="11906" w:h="16838"/>
          <w:pgMar w:top="2098" w:right="1474" w:bottom="1985" w:left="1588" w:header="851" w:footer="1418" w:gutter="0"/>
          <w:cols w:space="425"/>
          <w:docGrid w:type="linesAndChars" w:linePitch="579" w:charSpace="-849"/>
        </w:sectPr>
      </w:pPr>
    </w:p>
    <w:p w14:paraId="407D99BA" w14:textId="77777777" w:rsidR="004C67AD" w:rsidRDefault="00000000">
      <w:pPr>
        <w:widowControl/>
        <w:adjustRightInd w:val="0"/>
        <w:snapToGrid w:val="0"/>
        <w:spacing w:line="336" w:lineRule="auto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lastRenderedPageBreak/>
        <w:t>附件2</w:t>
      </w:r>
    </w:p>
    <w:p w14:paraId="2D7F548E" w14:textId="77777777" w:rsidR="004C67AD" w:rsidRDefault="00000000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游览接待场所运营使用单位自查自纠表</w:t>
      </w:r>
    </w:p>
    <w:p w14:paraId="08DB9937" w14:textId="77777777" w:rsidR="004C67AD" w:rsidRDefault="004C67AD">
      <w:pPr>
        <w:overflowPunct w:val="0"/>
        <w:adjustRightInd w:val="0"/>
        <w:snapToGrid w:val="0"/>
        <w:rPr>
          <w:sz w:val="28"/>
          <w:szCs w:val="28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267"/>
        <w:gridCol w:w="2089"/>
        <w:gridCol w:w="2106"/>
        <w:gridCol w:w="1928"/>
      </w:tblGrid>
      <w:tr w:rsidR="004C67AD" w14:paraId="3EB66119" w14:textId="77777777">
        <w:trPr>
          <w:cantSplit/>
          <w:trHeight w:val="454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 w14:paraId="6B918D59" w14:textId="77777777" w:rsidR="004C67AD" w:rsidRDefault="00000000">
            <w:pPr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基本信息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49E87C47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运营使用单位</w:t>
            </w:r>
          </w:p>
          <w:p w14:paraId="76F48DD3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（需盖章）</w:t>
            </w:r>
          </w:p>
        </w:tc>
        <w:tc>
          <w:tcPr>
            <w:tcW w:w="6123" w:type="dxa"/>
            <w:gridSpan w:val="3"/>
            <w:tcBorders>
              <w:tl2br w:val="nil"/>
              <w:tr2bl w:val="nil"/>
            </w:tcBorders>
          </w:tcPr>
          <w:p w14:paraId="1EF1D649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</w:tr>
      <w:tr w:rsidR="004C67AD" w14:paraId="3FF93918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75B7C6DC" w14:textId="77777777" w:rsidR="004C67AD" w:rsidRDefault="004C67AD">
            <w:pPr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2654CA67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管理单元</w:t>
            </w:r>
          </w:p>
          <w:p w14:paraId="1DE59B3A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（场所通俗名称）</w:t>
            </w:r>
          </w:p>
        </w:tc>
        <w:tc>
          <w:tcPr>
            <w:tcW w:w="6123" w:type="dxa"/>
            <w:gridSpan w:val="3"/>
            <w:tcBorders>
              <w:tl2br w:val="nil"/>
              <w:tr2bl w:val="nil"/>
            </w:tcBorders>
          </w:tcPr>
          <w:p w14:paraId="0C80B054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</w:tr>
      <w:tr w:rsidR="004C67AD" w14:paraId="6057C0A3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5710187F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1F88A49E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单位地址</w:t>
            </w:r>
          </w:p>
        </w:tc>
        <w:tc>
          <w:tcPr>
            <w:tcW w:w="6123" w:type="dxa"/>
            <w:gridSpan w:val="3"/>
            <w:tcBorders>
              <w:tl2br w:val="nil"/>
              <w:tr2bl w:val="nil"/>
            </w:tcBorders>
          </w:tcPr>
          <w:p w14:paraId="58200B20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</w:tr>
      <w:tr w:rsidR="004C67AD" w14:paraId="39A9C798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21860A47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2E451033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联系人/联系方式</w:t>
            </w:r>
          </w:p>
        </w:tc>
        <w:tc>
          <w:tcPr>
            <w:tcW w:w="6123" w:type="dxa"/>
            <w:gridSpan w:val="3"/>
            <w:tcBorders>
              <w:tl2br w:val="nil"/>
              <w:tr2bl w:val="nil"/>
            </w:tcBorders>
          </w:tcPr>
          <w:p w14:paraId="2A8B362B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</w:tr>
      <w:tr w:rsidR="004C67AD" w14:paraId="1D3E6CD8" w14:textId="77777777">
        <w:trPr>
          <w:cantSplit/>
          <w:trHeight w:val="454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 w14:paraId="415ADFFF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在用特种</w:t>
            </w:r>
          </w:p>
          <w:p w14:paraId="565001F1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设备数量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56675F41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电梯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56BE1F3F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（台）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56C19D89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起重机械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5CC56EF4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（台）</w:t>
            </w:r>
          </w:p>
        </w:tc>
      </w:tr>
      <w:tr w:rsidR="004C67AD" w14:paraId="342DDE26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7EE26B03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4F305C68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大型游乐设施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0D55E79D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（台）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33A31FBE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客运索道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14058E39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（条）</w:t>
            </w:r>
          </w:p>
        </w:tc>
      </w:tr>
      <w:tr w:rsidR="004C67AD" w14:paraId="22E5C561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5EB02F8B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281CDC3C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场内专用机动车辆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7639C37C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（辆）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210D5626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锅炉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17AEAB13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（台）</w:t>
            </w:r>
          </w:p>
        </w:tc>
      </w:tr>
      <w:tr w:rsidR="004C67AD" w14:paraId="5A050A50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63D1ED08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077F4119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压力容器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37F112DB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（台）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366D2CEE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压力管道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15618A58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（公里）</w:t>
            </w:r>
          </w:p>
        </w:tc>
      </w:tr>
      <w:tr w:rsidR="004C67AD" w14:paraId="2FDDC402" w14:textId="77777777">
        <w:trPr>
          <w:cantSplit/>
          <w:trHeight w:val="229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0E698FAF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90" w:type="dxa"/>
            <w:gridSpan w:val="4"/>
            <w:tcBorders>
              <w:tl2br w:val="nil"/>
              <w:tr2bl w:val="nil"/>
            </w:tcBorders>
          </w:tcPr>
          <w:p w14:paraId="02B9E047" w14:textId="77777777" w:rsidR="004C67AD" w:rsidRDefault="00000000">
            <w:pPr>
              <w:overflowPunct w:val="0"/>
              <w:adjustRightInd w:val="0"/>
              <w:snapToGrid w:val="0"/>
              <w:spacing w:before="60"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通过双重预防建设，辨识评价风险及分级管控情况：</w:t>
            </w:r>
          </w:p>
        </w:tc>
      </w:tr>
      <w:tr w:rsidR="004C67AD" w14:paraId="7ECC4C5C" w14:textId="77777777">
        <w:trPr>
          <w:cantSplit/>
          <w:trHeight w:val="454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 w14:paraId="69B54DC1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人员配备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6B74CB77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专职安全管理员</w:t>
            </w:r>
          </w:p>
          <w:p w14:paraId="7AAE72B6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（项目：A）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1173B245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1E8AC82D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兼职安全管理员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4D2E2849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</w:tr>
      <w:tr w:rsidR="004C67AD" w14:paraId="798C23AB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7E9A6F70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05B20C02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大型游乐设施修理</w:t>
            </w:r>
          </w:p>
          <w:p w14:paraId="1A8366FF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（项目：Y1）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3E12F5F1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7871E5F4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大型游乐设施操作</w:t>
            </w:r>
          </w:p>
          <w:p w14:paraId="448FC5D0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（项目：Y2）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5AA4A649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</w:tr>
      <w:tr w:rsidR="004C67AD" w14:paraId="0CDC5231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10415F92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36FC0EAD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客运索道修理</w:t>
            </w:r>
          </w:p>
          <w:p w14:paraId="7ECBC3E2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（项目：S1）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6A26A86A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6817D953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客运索道司机</w:t>
            </w:r>
          </w:p>
          <w:p w14:paraId="75F937CA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（项目：S2）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74DE3D23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</w:tr>
      <w:tr w:rsidR="004C67AD" w14:paraId="43DCC2C5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7B49D99E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5B2E8EF6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叉车司机</w:t>
            </w:r>
          </w:p>
          <w:p w14:paraId="242F6A48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（项目：N1）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4A0D09BF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713BCA10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ind w:left="-28" w:right="-28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观光车和观光列车司机</w:t>
            </w:r>
          </w:p>
          <w:p w14:paraId="1DC3B450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（项目：N2）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77E91522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</w:tr>
      <w:tr w:rsidR="004C67AD" w14:paraId="578B09B5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0728DE81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14:paraId="45ECB3A9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工业锅炉司炉</w:t>
            </w:r>
          </w:p>
          <w:p w14:paraId="24B52819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（项目：G1）</w:t>
            </w:r>
          </w:p>
        </w:tc>
        <w:tc>
          <w:tcPr>
            <w:tcW w:w="2089" w:type="dxa"/>
            <w:tcBorders>
              <w:tl2br w:val="nil"/>
              <w:tr2bl w:val="nil"/>
            </w:tcBorders>
            <w:vAlign w:val="center"/>
          </w:tcPr>
          <w:p w14:paraId="54D0086B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  <w:tc>
          <w:tcPr>
            <w:tcW w:w="2106" w:type="dxa"/>
            <w:tcBorders>
              <w:tl2br w:val="nil"/>
              <w:tr2bl w:val="nil"/>
            </w:tcBorders>
            <w:vAlign w:val="center"/>
          </w:tcPr>
          <w:p w14:paraId="4BDFD9B2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锅炉水处理</w:t>
            </w:r>
          </w:p>
          <w:p w14:paraId="65AF5FEC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（项目：G3）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14:paraId="13FFCDE8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（人）</w:t>
            </w:r>
          </w:p>
        </w:tc>
      </w:tr>
      <w:tr w:rsidR="004C67AD" w14:paraId="6A25D2E8" w14:textId="77777777">
        <w:trPr>
          <w:cantSplit/>
          <w:trHeight w:val="2190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0C004916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90" w:type="dxa"/>
            <w:gridSpan w:val="4"/>
            <w:tcBorders>
              <w:tl2br w:val="nil"/>
              <w:tr2bl w:val="nil"/>
            </w:tcBorders>
          </w:tcPr>
          <w:p w14:paraId="02008CCA" w14:textId="77777777" w:rsidR="004C67AD" w:rsidRDefault="00000000">
            <w:pPr>
              <w:overflowPunct w:val="0"/>
              <w:adjustRightInd w:val="0"/>
              <w:snapToGrid w:val="0"/>
              <w:spacing w:before="60"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对安全管理员、作业人员开展安全教育和技能培训的频次及方式：</w:t>
            </w:r>
          </w:p>
        </w:tc>
      </w:tr>
      <w:tr w:rsidR="004C67AD" w14:paraId="3D76B726" w14:textId="77777777">
        <w:trPr>
          <w:cantSplit/>
          <w:trHeight w:val="454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 w14:paraId="481910F5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lastRenderedPageBreak/>
              <w:t>维护保养</w:t>
            </w: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04AC6F75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电梯维保单位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663C96EC" w14:textId="77777777" w:rsidR="004C67AD" w:rsidRDefault="004C67AD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</w:p>
        </w:tc>
      </w:tr>
      <w:tr w:rsidR="004C67AD" w14:paraId="605E5B75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  <w:vAlign w:val="center"/>
          </w:tcPr>
          <w:p w14:paraId="0E5CF75D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1F8A53FF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其他特种设备是否为自保养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18C533BB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037E9EDB" w14:textId="77777777">
        <w:trPr>
          <w:cantSplit/>
          <w:trHeight w:val="2268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1EE77F22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90" w:type="dxa"/>
            <w:gridSpan w:val="4"/>
            <w:tcBorders>
              <w:tl2br w:val="nil"/>
              <w:tr2bl w:val="nil"/>
            </w:tcBorders>
          </w:tcPr>
          <w:p w14:paraId="3204F6D9" w14:textId="77777777" w:rsidR="004C67AD" w:rsidRDefault="00000000">
            <w:pPr>
              <w:overflowPunct w:val="0"/>
              <w:adjustRightInd w:val="0"/>
              <w:snapToGrid w:val="0"/>
              <w:spacing w:before="60"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各类特种设备维保频次及委外维保情况：</w:t>
            </w:r>
          </w:p>
        </w:tc>
      </w:tr>
      <w:tr w:rsidR="004C67AD" w14:paraId="3626B643" w14:textId="77777777">
        <w:trPr>
          <w:cantSplit/>
          <w:trHeight w:val="454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 w14:paraId="2BA0D7A1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自查自纠</w:t>
            </w: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547D0B70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是否按要求设置特种设备安全管理机构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5C2C9A42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无需设置</w:t>
            </w:r>
          </w:p>
        </w:tc>
      </w:tr>
      <w:tr w:rsidR="004C67AD" w14:paraId="1B4F4910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  <w:vAlign w:val="center"/>
          </w:tcPr>
          <w:p w14:paraId="062AEB7B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37987792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是否建立健全特种设备安全管理制度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6F2FE41E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41E231AF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4BB2AF85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210470D0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是否逐台设备建立健全安全技术档案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426899D4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1D855BCB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1D98CDFC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0A22F3FF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是否建立健全特种设备应急预案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79F740FE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0943C16D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201F369E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687F03E4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各类设备是否每年开展应急演练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6BC54061" w14:textId="77777777" w:rsidR="004C67AD" w:rsidRDefault="00000000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301E3678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07603390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10A6E14C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最近一次特种设备应急演练日期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6D1DED1C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年     月     日</w:t>
            </w:r>
          </w:p>
        </w:tc>
      </w:tr>
      <w:tr w:rsidR="004C67AD" w14:paraId="5C8F51FB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  <w:vAlign w:val="center"/>
          </w:tcPr>
          <w:p w14:paraId="121C77A2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692633C0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是否在上海市特种设备双重预防信息化系统</w:t>
            </w:r>
          </w:p>
          <w:p w14:paraId="799C4BE6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完成账号注册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7C18C01F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0AFEF829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  <w:vAlign w:val="center"/>
          </w:tcPr>
          <w:p w14:paraId="0148F99B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679C669B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是否在上海市特种设备双重预防信息化系统</w:t>
            </w:r>
          </w:p>
          <w:p w14:paraId="76192418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录入工作台账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3D8AA594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5A34C8F4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7282E4C1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228EB23B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是否在易于为乘客注意的显著位置张贴</w:t>
            </w:r>
          </w:p>
          <w:p w14:paraId="57584D7C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安全使用说明、安全注意事项和警示标志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71A175E5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3D5D05DD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360E0EBC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545810D2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是否与相关政府部门建立突发事件报送机制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518A2FEA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是         </w:t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sym w:font="Wingdings 2" w:char="00A3"/>
            </w: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否</w:t>
            </w:r>
          </w:p>
        </w:tc>
      </w:tr>
      <w:tr w:rsidR="004C67AD" w14:paraId="683BE057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34B6D1AB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6496538D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已完成自查自纠的特种设备数量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76103E88" w14:textId="77777777" w:rsidR="004C67AD" w:rsidRDefault="00000000">
            <w:pPr>
              <w:adjustRightInd w:val="0"/>
              <w:snapToGrid w:val="0"/>
              <w:spacing w:line="320" w:lineRule="exact"/>
              <w:ind w:right="215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               （台）</w:t>
            </w:r>
          </w:p>
        </w:tc>
      </w:tr>
      <w:tr w:rsidR="004C67AD" w14:paraId="01752531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5C1A4A09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779732B4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发现问题隐患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7E8111C2" w14:textId="77777777" w:rsidR="004C67AD" w:rsidRDefault="00000000">
            <w:pPr>
              <w:adjustRightInd w:val="0"/>
              <w:snapToGrid w:val="0"/>
              <w:spacing w:line="320" w:lineRule="exact"/>
              <w:ind w:right="215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        （台）</w:t>
            </w:r>
          </w:p>
          <w:p w14:paraId="38932EBF" w14:textId="77777777" w:rsidR="004C67AD" w:rsidRDefault="00000000">
            <w:pPr>
              <w:adjustRightInd w:val="0"/>
              <w:snapToGrid w:val="0"/>
              <w:spacing w:line="320" w:lineRule="exact"/>
              <w:ind w:right="215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        （处）</w:t>
            </w:r>
          </w:p>
        </w:tc>
      </w:tr>
      <w:tr w:rsidR="004C67AD" w14:paraId="4BBFCDE6" w14:textId="77777777">
        <w:trPr>
          <w:cantSplit/>
          <w:trHeight w:val="454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06206713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356" w:type="dxa"/>
            <w:gridSpan w:val="2"/>
            <w:tcBorders>
              <w:tl2br w:val="nil"/>
              <w:tr2bl w:val="nil"/>
            </w:tcBorders>
            <w:vAlign w:val="center"/>
          </w:tcPr>
          <w:p w14:paraId="241F0611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已整改问题隐患</w:t>
            </w:r>
          </w:p>
        </w:tc>
        <w:tc>
          <w:tcPr>
            <w:tcW w:w="4034" w:type="dxa"/>
            <w:gridSpan w:val="2"/>
            <w:tcBorders>
              <w:tl2br w:val="nil"/>
              <w:tr2bl w:val="nil"/>
            </w:tcBorders>
            <w:vAlign w:val="center"/>
          </w:tcPr>
          <w:p w14:paraId="5538880F" w14:textId="77777777" w:rsidR="004C67AD" w:rsidRDefault="00000000">
            <w:pPr>
              <w:adjustRightInd w:val="0"/>
              <w:snapToGrid w:val="0"/>
              <w:spacing w:line="320" w:lineRule="exact"/>
              <w:ind w:right="215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        （台）</w:t>
            </w:r>
          </w:p>
          <w:p w14:paraId="74C885BE" w14:textId="77777777" w:rsidR="004C67AD" w:rsidRDefault="00000000">
            <w:pPr>
              <w:adjustRightInd w:val="0"/>
              <w:snapToGrid w:val="0"/>
              <w:spacing w:line="320" w:lineRule="exact"/>
              <w:ind w:right="215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 xml:space="preserve">                        （处）</w:t>
            </w:r>
          </w:p>
        </w:tc>
      </w:tr>
      <w:tr w:rsidR="004C67AD" w14:paraId="2E52D8AB" w14:textId="77777777">
        <w:trPr>
          <w:cantSplit/>
          <w:trHeight w:val="2268"/>
          <w:jc w:val="center"/>
        </w:trPr>
        <w:tc>
          <w:tcPr>
            <w:tcW w:w="454" w:type="dxa"/>
            <w:vMerge/>
            <w:tcBorders>
              <w:tl2br w:val="nil"/>
              <w:tr2bl w:val="nil"/>
            </w:tcBorders>
          </w:tcPr>
          <w:p w14:paraId="184ABE68" w14:textId="77777777" w:rsidR="004C67AD" w:rsidRDefault="004C67AD">
            <w:pPr>
              <w:tabs>
                <w:tab w:val="left" w:pos="790"/>
              </w:tabs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90" w:type="dxa"/>
            <w:gridSpan w:val="4"/>
            <w:tcBorders>
              <w:tl2br w:val="nil"/>
              <w:tr2bl w:val="nil"/>
            </w:tcBorders>
          </w:tcPr>
          <w:p w14:paraId="06776B0F" w14:textId="77777777" w:rsidR="004C67AD" w:rsidRDefault="00000000">
            <w:pPr>
              <w:tabs>
                <w:tab w:val="left" w:pos="790"/>
              </w:tabs>
              <w:overflowPunct w:val="0"/>
              <w:adjustRightInd w:val="0"/>
              <w:snapToGrid w:val="0"/>
              <w:spacing w:before="60" w:line="320" w:lineRule="exact"/>
              <w:jc w:val="center"/>
              <w:rPr>
                <w:rFonts w:ascii="仿宋_GB2312" w:cs="仿宋_GB2312"/>
                <w:bCs/>
                <w:sz w:val="21"/>
                <w:szCs w:val="21"/>
              </w:rPr>
            </w:pPr>
            <w:r>
              <w:rPr>
                <w:rFonts w:ascii="仿宋_GB2312" w:cs="仿宋_GB2312" w:hint="eastAsia"/>
                <w:bCs/>
                <w:sz w:val="21"/>
                <w:szCs w:val="21"/>
              </w:rPr>
              <w:t>发现的问题隐患及具体整改情况：</w:t>
            </w:r>
          </w:p>
        </w:tc>
      </w:tr>
    </w:tbl>
    <w:p w14:paraId="3B4EF721" w14:textId="77777777" w:rsidR="004C67AD" w:rsidRDefault="004C67AD">
      <w:pPr>
        <w:adjustRightInd w:val="0"/>
        <w:snapToGrid w:val="0"/>
        <w:spacing w:line="336" w:lineRule="auto"/>
        <w:rPr>
          <w:rFonts w:ascii="仿宋_GB2312" w:hAnsi="黑体" w:cs="Times New Roman"/>
          <w:color w:val="000000"/>
          <w:sz w:val="28"/>
          <w:szCs w:val="28"/>
        </w:rPr>
        <w:sectPr w:rsidR="004C67AD">
          <w:pgSz w:w="11906" w:h="16838"/>
          <w:pgMar w:top="1440" w:right="1474" w:bottom="1440" w:left="1588" w:header="851" w:footer="992" w:gutter="0"/>
          <w:cols w:space="425"/>
          <w:docGrid w:type="linesAndChars" w:linePitch="579" w:charSpace="-849"/>
        </w:sectPr>
      </w:pPr>
    </w:p>
    <w:p w14:paraId="5F6B931D" w14:textId="77777777" w:rsidR="004C67AD" w:rsidRDefault="004C67AD">
      <w:pPr>
        <w:pStyle w:val="a9"/>
        <w:adjustRightInd w:val="0"/>
        <w:snapToGrid w:val="0"/>
        <w:spacing w:before="0" w:beforeAutospacing="0" w:after="0" w:afterAutospacing="0" w:line="336" w:lineRule="auto"/>
        <w:ind w:firstLineChars="0" w:firstLine="0"/>
        <w:jc w:val="both"/>
        <w:rPr>
          <w:rFonts w:ascii="仿宋_GB2312"/>
          <w:spacing w:val="4"/>
        </w:rPr>
      </w:pPr>
    </w:p>
    <w:sectPr w:rsidR="004C67AD">
      <w:pgSz w:w="11906" w:h="16838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E182" w14:textId="77777777" w:rsidR="00910F71" w:rsidRDefault="00910F71">
      <w:r>
        <w:separator/>
      </w:r>
    </w:p>
  </w:endnote>
  <w:endnote w:type="continuationSeparator" w:id="0">
    <w:p w14:paraId="1DF978EC" w14:textId="77777777" w:rsidR="00910F71" w:rsidRDefault="0091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Wingdings 2">
    <w:altName w:val="方正宋体S-超大字符集(SIP)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D8CC" w14:textId="77777777" w:rsidR="004C67AD" w:rsidRDefault="00000000">
    <w:pPr>
      <w:pStyle w:val="a5"/>
      <w:ind w:leftChars="100" w:left="320" w:rightChars="100" w:righ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  <w:lang w:val="zh-CN"/>
      </w:rPr>
      <w:t>—</w:t>
    </w:r>
    <w:r>
      <w:rPr>
        <w:rFonts w:ascii="宋体" w:eastAsia="宋体" w:hAnsi="宋体"/>
        <w:sz w:val="28"/>
        <w:szCs w:val="28"/>
        <w:lang w:val="zh-CN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  <w:lang w:val="zh-CN"/>
      </w:rPr>
      <w:t xml:space="preserve"> </w:t>
    </w:r>
    <w:r>
      <w:rPr>
        <w:rFonts w:ascii="宋体" w:eastAsia="宋体" w:hAnsi="宋体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872516"/>
    </w:sdtPr>
    <w:sdtContent>
      <w:p w14:paraId="1E2292D2" w14:textId="77777777" w:rsidR="004C67AD" w:rsidRDefault="00000000">
        <w:pPr>
          <w:pStyle w:val="a5"/>
          <w:ind w:left="312" w:right="312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eastAsia="宋体" w:hAnsi="宋体" w:hint="eastAsia"/>
            <w:kern w:val="0"/>
            <w:sz w:val="28"/>
            <w:szCs w:val="28"/>
          </w:rPr>
          <w:t xml:space="preserve">— </w:t>
        </w:r>
        <w:r>
          <w:rPr>
            <w:rFonts w:ascii="宋体" w:eastAsia="宋体" w:hAnsi="宋体" w:hint="eastAsia"/>
            <w:kern w:val="0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kern w:val="0"/>
            <w:sz w:val="28"/>
            <w:szCs w:val="28"/>
          </w:rPr>
          <w:instrText xml:space="preserve"> PAGE </w:instrText>
        </w:r>
        <w:r>
          <w:rPr>
            <w:rFonts w:ascii="宋体" w:eastAsia="宋体" w:hAnsi="宋体" w:hint="eastAsia"/>
            <w:kern w:val="0"/>
            <w:sz w:val="28"/>
            <w:szCs w:val="28"/>
          </w:rPr>
          <w:fldChar w:fldCharType="separate"/>
        </w:r>
        <w:r>
          <w:rPr>
            <w:rFonts w:ascii="宋体" w:eastAsia="宋体" w:hAnsi="宋体"/>
            <w:kern w:val="0"/>
            <w:sz w:val="28"/>
            <w:szCs w:val="28"/>
          </w:rPr>
          <w:t>11</w:t>
        </w:r>
        <w:r>
          <w:rPr>
            <w:rFonts w:ascii="宋体" w:eastAsia="宋体" w:hAnsi="宋体" w:hint="eastAsia"/>
            <w:kern w:val="0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kern w:val="0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7087" w14:textId="77777777" w:rsidR="00910F71" w:rsidRDefault="00910F71">
      <w:r>
        <w:separator/>
      </w:r>
    </w:p>
  </w:footnote>
  <w:footnote w:type="continuationSeparator" w:id="0">
    <w:p w14:paraId="61AA0E31" w14:textId="77777777" w:rsidR="00910F71" w:rsidRDefault="0091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EzNGZhMjRmYTFlMzFhNjBhZjJlZjMzM2MxNDdhMmIifQ=="/>
  </w:docVars>
  <w:rsids>
    <w:rsidRoot w:val="00634E73"/>
    <w:rsid w:val="9BF6C01C"/>
    <w:rsid w:val="9C47AEBC"/>
    <w:rsid w:val="FFFE6011"/>
    <w:rsid w:val="00017CD2"/>
    <w:rsid w:val="00040247"/>
    <w:rsid w:val="000D2B56"/>
    <w:rsid w:val="000F1BBD"/>
    <w:rsid w:val="0011488D"/>
    <w:rsid w:val="00141A09"/>
    <w:rsid w:val="00153931"/>
    <w:rsid w:val="00162562"/>
    <w:rsid w:val="0019238A"/>
    <w:rsid w:val="00236D47"/>
    <w:rsid w:val="00245492"/>
    <w:rsid w:val="002A2F8A"/>
    <w:rsid w:val="003400FD"/>
    <w:rsid w:val="00355C2D"/>
    <w:rsid w:val="003A5A4E"/>
    <w:rsid w:val="003B4F58"/>
    <w:rsid w:val="00470819"/>
    <w:rsid w:val="00483F08"/>
    <w:rsid w:val="00496001"/>
    <w:rsid w:val="004C67AD"/>
    <w:rsid w:val="0050088B"/>
    <w:rsid w:val="00504DA1"/>
    <w:rsid w:val="0051155C"/>
    <w:rsid w:val="005241F0"/>
    <w:rsid w:val="00543CFD"/>
    <w:rsid w:val="00546DED"/>
    <w:rsid w:val="00562FF8"/>
    <w:rsid w:val="00586471"/>
    <w:rsid w:val="005B0AD1"/>
    <w:rsid w:val="005B23C7"/>
    <w:rsid w:val="006141BC"/>
    <w:rsid w:val="00634E73"/>
    <w:rsid w:val="00666F15"/>
    <w:rsid w:val="006A1FC3"/>
    <w:rsid w:val="006F6504"/>
    <w:rsid w:val="007031B1"/>
    <w:rsid w:val="007149DB"/>
    <w:rsid w:val="00762548"/>
    <w:rsid w:val="0079462D"/>
    <w:rsid w:val="007D08AB"/>
    <w:rsid w:val="007D4326"/>
    <w:rsid w:val="007F01C6"/>
    <w:rsid w:val="008009E4"/>
    <w:rsid w:val="0081201B"/>
    <w:rsid w:val="008450FB"/>
    <w:rsid w:val="008B7D1A"/>
    <w:rsid w:val="008F1C13"/>
    <w:rsid w:val="00910F71"/>
    <w:rsid w:val="009600E4"/>
    <w:rsid w:val="009640D3"/>
    <w:rsid w:val="00974067"/>
    <w:rsid w:val="009A65A7"/>
    <w:rsid w:val="009D491F"/>
    <w:rsid w:val="00A4635B"/>
    <w:rsid w:val="00A578DE"/>
    <w:rsid w:val="00A639C4"/>
    <w:rsid w:val="00AB0C23"/>
    <w:rsid w:val="00AF06AF"/>
    <w:rsid w:val="00B0439A"/>
    <w:rsid w:val="00B13B5C"/>
    <w:rsid w:val="00B368CB"/>
    <w:rsid w:val="00B80D56"/>
    <w:rsid w:val="00B8561E"/>
    <w:rsid w:val="00B91DCB"/>
    <w:rsid w:val="00BD5843"/>
    <w:rsid w:val="00BE3E7D"/>
    <w:rsid w:val="00C07A6E"/>
    <w:rsid w:val="00C24560"/>
    <w:rsid w:val="00C30481"/>
    <w:rsid w:val="00C81C71"/>
    <w:rsid w:val="00CA7051"/>
    <w:rsid w:val="00CC2016"/>
    <w:rsid w:val="00D221B4"/>
    <w:rsid w:val="00D30C74"/>
    <w:rsid w:val="00D44123"/>
    <w:rsid w:val="00D56D13"/>
    <w:rsid w:val="00D83174"/>
    <w:rsid w:val="00D917BC"/>
    <w:rsid w:val="00DA0BEA"/>
    <w:rsid w:val="00DB6DC3"/>
    <w:rsid w:val="00DB72E3"/>
    <w:rsid w:val="00E251A6"/>
    <w:rsid w:val="00E43162"/>
    <w:rsid w:val="00E5389E"/>
    <w:rsid w:val="00E74ABB"/>
    <w:rsid w:val="00E9226C"/>
    <w:rsid w:val="00EB1594"/>
    <w:rsid w:val="00EB6B96"/>
    <w:rsid w:val="00EF2D8D"/>
    <w:rsid w:val="00F30C23"/>
    <w:rsid w:val="00F43D17"/>
    <w:rsid w:val="00F66F62"/>
    <w:rsid w:val="00F77D57"/>
    <w:rsid w:val="00FD415C"/>
    <w:rsid w:val="66A455D7"/>
    <w:rsid w:val="7E5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B3E0"/>
  <w15:docId w15:val="{CEAC41FD-27FC-4CD4-BD9E-20A51AC4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spacing w:before="100" w:beforeAutospacing="1" w:after="100" w:afterAutospacing="1" w:line="360" w:lineRule="auto"/>
      <w:ind w:firstLineChars="200" w:firstLine="42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笪斯劼</dc:creator>
  <cp:lastModifiedBy>茜婧 张</cp:lastModifiedBy>
  <cp:revision>3</cp:revision>
  <cp:lastPrinted>2023-04-25T22:04:00Z</cp:lastPrinted>
  <dcterms:created xsi:type="dcterms:W3CDTF">2023-05-09T16:34:00Z</dcterms:created>
  <dcterms:modified xsi:type="dcterms:W3CDTF">2023-11-20T06:45:00Z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510E4BE6DBF54789A5B24DF6AC55E6A5_13</vt:lpwstr>
  </property>
</Properties>
</file>