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940"/>
        </w:tabs>
        <w:adjustRightInd w:val="0"/>
        <w:snapToGrid w:val="0"/>
        <w:spacing w:line="336" w:lineRule="auto"/>
        <w:jc w:val="left"/>
        <w:rPr>
          <w:kern w:val="0"/>
          <w:szCs w:val="30"/>
        </w:rPr>
      </w:pPr>
      <w:r>
        <w:rPr>
          <w:rFonts w:hint="eastAsia" w:ascii="黑体" w:eastAsia="黑体"/>
          <w:bCs/>
          <w:sz w:val="32"/>
          <w:szCs w:val="32"/>
        </w:rPr>
        <w:t>附件1</w:t>
      </w:r>
    </w:p>
    <w:p>
      <w:pPr>
        <w:tabs>
          <w:tab w:val="left" w:pos="790"/>
        </w:tabs>
        <w:overflowPunct w:val="0"/>
        <w:adjustRightInd w:val="0"/>
        <w:snapToGrid w:val="0"/>
        <w:jc w:val="center"/>
        <w:rPr>
          <w:rFonts w:ascii="方正小标宋简体" w:hAnsi="宋体" w:eastAsia="方正小标宋简体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kern w:val="0"/>
          <w:sz w:val="36"/>
          <w:szCs w:val="36"/>
        </w:rPr>
        <w:t>学校食堂食品安全自查表</w:t>
      </w:r>
    </w:p>
    <w:p>
      <w:pPr>
        <w:tabs>
          <w:tab w:val="left" w:pos="790"/>
        </w:tabs>
        <w:overflowPunct w:val="0"/>
        <w:adjustRightInd w:val="0"/>
        <w:snapToGrid w:val="0"/>
        <w:spacing w:line="360" w:lineRule="auto"/>
        <w:rPr>
          <w:rFonts w:ascii="仿宋_GB2312" w:hAnsi="仿宋_GB2312" w:eastAsia="仿宋_GB2312" w:cs="仿宋_GB2312"/>
          <w:kern w:val="0"/>
          <w:sz w:val="24"/>
          <w:szCs w:val="24"/>
        </w:rPr>
      </w:pPr>
    </w:p>
    <w:p>
      <w:pPr>
        <w:tabs>
          <w:tab w:val="left" w:pos="4536"/>
          <w:tab w:val="left" w:pos="5954"/>
        </w:tabs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单位名称：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　　　　　　　　　　　　　　　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地址：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　　　　　　　　　　　</w:t>
      </w:r>
    </w:p>
    <w:p>
      <w:pPr>
        <w:tabs>
          <w:tab w:val="left" w:pos="5954"/>
        </w:tabs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法定代表人（或）业主姓名：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　　　　　　　　 　　　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电话：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　　　　　　　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许可证号：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　　　　　　　　　　　　　　　　 　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经营项目：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　　　　　　　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自查时间：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　　　　　</w:t>
      </w:r>
      <w:r>
        <w:rPr>
          <w:rFonts w:hint="eastAsia" w:ascii="仿宋_GB2312" w:hAnsi="仿宋_GB2312" w:eastAsia="仿宋_GB2312" w:cs="仿宋_GB2312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　　</w:t>
      </w:r>
      <w:r>
        <w:rPr>
          <w:rFonts w:hint="eastAsia" w:ascii="仿宋_GB2312" w:hAnsi="仿宋_GB2312" w:eastAsia="仿宋_GB2312" w:cs="仿宋_GB2312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　　</w:t>
      </w:r>
      <w:r>
        <w:rPr>
          <w:rFonts w:hint="eastAsia" w:ascii="仿宋_GB2312" w:hAnsi="仿宋_GB2312" w:eastAsia="仿宋_GB2312" w:cs="仿宋_GB2312"/>
          <w:sz w:val="24"/>
          <w:szCs w:val="24"/>
        </w:rPr>
        <w:t>日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　　</w:t>
      </w:r>
      <w:r>
        <w:rPr>
          <w:rFonts w:hint="eastAsia" w:ascii="仿宋_GB2312" w:hAnsi="仿宋_GB2312" w:eastAsia="仿宋_GB2312" w:cs="仿宋_GB2312"/>
          <w:sz w:val="24"/>
          <w:szCs w:val="24"/>
        </w:rPr>
        <w:t>时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　　</w:t>
      </w:r>
      <w:r>
        <w:rPr>
          <w:rFonts w:hint="eastAsia" w:ascii="仿宋_GB2312" w:hAnsi="仿宋_GB2312" w:eastAsia="仿宋_GB2312" w:cs="仿宋_GB2312"/>
          <w:sz w:val="24"/>
          <w:szCs w:val="24"/>
        </w:rPr>
        <w:t>分</w:t>
      </w:r>
    </w:p>
    <w:tbl>
      <w:tblPr>
        <w:tblStyle w:val="7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5447"/>
        <w:gridCol w:w="793"/>
        <w:gridCol w:w="793"/>
        <w:gridCol w:w="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1019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检查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内容</w:t>
            </w:r>
          </w:p>
        </w:tc>
        <w:tc>
          <w:tcPr>
            <w:tcW w:w="5447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检查项目</w:t>
            </w:r>
          </w:p>
        </w:tc>
        <w:tc>
          <w:tcPr>
            <w:tcW w:w="793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是否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符合</w:t>
            </w:r>
          </w:p>
        </w:tc>
        <w:tc>
          <w:tcPr>
            <w:tcW w:w="793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未检查</w:t>
            </w:r>
          </w:p>
        </w:tc>
        <w:tc>
          <w:tcPr>
            <w:tcW w:w="793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1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1．许可管理</w:t>
            </w:r>
          </w:p>
        </w:tc>
        <w:tc>
          <w:tcPr>
            <w:tcW w:w="5447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1.1按照有效《食品经营许可证》载明的经营地址、经营业态类别、经营项目加工供应食品。★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1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447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1.2</w:t>
            </w:r>
            <w:r>
              <w:rPr>
                <w:rFonts w:hint="eastAsia" w:ascii="仿宋_GB2312" w:hAnsi="仿宋_GB2312" w:eastAsia="仿宋_GB2312" w:cs="仿宋_GB2312"/>
                <w:spacing w:val="-8"/>
                <w:szCs w:val="21"/>
              </w:rPr>
              <w:t>食品经营许可证和量化等级公示牌悬挂或摆放醒目处。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1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447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1.3核定的加工经营场所面积、布局流程和使用功能等生产经营条件未发生变化。★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1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2．人员管理</w:t>
            </w:r>
          </w:p>
        </w:tc>
        <w:tc>
          <w:tcPr>
            <w:tcW w:w="5447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2.1按规定配有专职或兼职食品安全管理人员，未聘用</w:t>
            </w:r>
            <w:r>
              <w:rPr>
                <w:rFonts w:hint="eastAsia" w:ascii="仿宋_GB2312" w:hAnsi="仿宋_GB2312" w:eastAsia="仿宋_GB2312" w:cs="仿宋_GB2312"/>
                <w:spacing w:val="-6"/>
                <w:szCs w:val="21"/>
              </w:rPr>
              <w:t>禁聘人员从事食品安全管理工作。按规定取得考核合格证。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1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447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2.2建有从业人员培训和健康档案，未安排患有有碍食品安全疾病的人员从事接触直接入口食品的工作。从业人员取得健康证明上岗。★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1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447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2.3加工经营过程中从业人员个人卫生符合卫生要求。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1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3．场所环境</w:t>
            </w:r>
          </w:p>
        </w:tc>
        <w:tc>
          <w:tcPr>
            <w:tcW w:w="5447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3.1加工经营场所内外环境整洁；墙壁、天花板、门窗、地面保持清洁，排水通畅。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1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447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3.2消除了老鼠、蟑螂、苍蝇等有害昆虫及其孳生条件。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1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447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3.3餐厨废弃物和废弃油脂处置符合要求。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1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4．设施设备</w:t>
            </w:r>
          </w:p>
        </w:tc>
        <w:tc>
          <w:tcPr>
            <w:tcW w:w="5447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4.1定期维护食品加工、贮存、陈列等设施设备，能正常运转和使用。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1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447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4.2定期清洗、校验、及时清理清洗保温、冷藏和冷冻等设施设备，能正常运转和使用。★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1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447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4.3用于加工操作的工具、设备无毒无害，标志或区分明显，分开使用，定位存放，用后洗净，保持清洁。★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1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447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4.4接触直接入口食品工具设备使用前消毒。★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1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5．采购与储存</w:t>
            </w:r>
          </w:p>
        </w:tc>
        <w:tc>
          <w:tcPr>
            <w:tcW w:w="5447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5.1按规定索取、留存、整理供货者的许可证、产品合格证明等文件和进货票据。★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1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447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5.2如实记录食品原料、食品添加剂、食品相关产品进货和查验记录，记录保存不少于二年。按相关要求如实上传食品追溯信息。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1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447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5.3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不采购经营国家及地方法律法规规定的禁止生产经营的食品及原料。中小学、幼儿园食堂不得制售冷荤类食品、生食类食品、裱花蛋糕，不得加工制作四季豆、鲜黄花菜、野生蘑菇、发芽土豆等高风险食品。★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1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447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5.4保持贮存食品原料的场所、设备清洁；未存放有毒、有害物品及个人生活用品；食品原料分类、分架、隔墙、离地存放于适宜的温度环境内；定期检查、清理变质或超过保质期的食品。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1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447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5.5贮存散装食品的位置或容器、外包装上标明食品名称、生产日期、保质期、生产者及联系方式等。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1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6．加工制作</w:t>
            </w:r>
          </w:p>
        </w:tc>
        <w:tc>
          <w:tcPr>
            <w:tcW w:w="5447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6.1粗加工水池有标识，植物性和动物性食品分类清洗。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1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447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6.2直接入口食品与食品原料、半成品分开存放。★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1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447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6.3需要熟制加工食品烧熟煮透；需要冷藏的熟制品冷却后及时冷藏。储存设施设备正常运转，储存温度和时间符合要求。★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7．餐具安全</w:t>
            </w:r>
          </w:p>
        </w:tc>
        <w:tc>
          <w:tcPr>
            <w:tcW w:w="5447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7.1餐饮具按要求清洗、消毒和保洁。★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8．食品添加剂</w:t>
            </w:r>
          </w:p>
        </w:tc>
        <w:tc>
          <w:tcPr>
            <w:tcW w:w="5447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8.1</w:t>
            </w:r>
            <w:r>
              <w:rPr>
                <w:rFonts w:hint="eastAsia" w:ascii="仿宋_GB2312" w:hAnsi="仿宋_GB2312" w:eastAsia="仿宋_GB2312" w:cs="仿宋_GB2312"/>
                <w:spacing w:val="-6"/>
                <w:szCs w:val="21"/>
              </w:rPr>
              <w:t>食品添加剂使用符合相关标准，达到专人采购、专人保管、专人领用、专人登记、专柜保存、备案公示要求。★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1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Cs w:val="21"/>
              </w:rPr>
              <w:t>9．专间操作卫生</w:t>
            </w:r>
          </w:p>
        </w:tc>
        <w:tc>
          <w:tcPr>
            <w:tcW w:w="5447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9.1</w:t>
            </w:r>
            <w:r>
              <w:rPr>
                <w:rFonts w:hint="eastAsia" w:ascii="仿宋_GB2312" w:hAnsi="仿宋_GB2312" w:eastAsia="仿宋_GB2312" w:cs="仿宋_GB2312"/>
                <w:spacing w:val="-6"/>
                <w:szCs w:val="21"/>
              </w:rPr>
              <w:t>洗手消毒设施、空气消毒设施、空调设施、冷藏设施、净水设施等正常运转。专间温度控制在25℃以下。★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1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447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9.2专人加工制作，非专间人员不得擅自进入专间。专间内未存放非直接入口食品、未经清洗处理的水果蔬菜、杂物等。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10．食品留样</w:t>
            </w:r>
          </w:p>
        </w:tc>
        <w:tc>
          <w:tcPr>
            <w:tcW w:w="5447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10.1按规定进行食品留样，留样设备正常运转。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1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Cs w:val="21"/>
              </w:rPr>
              <w:t>11．食品安全管理</w:t>
            </w:r>
          </w:p>
        </w:tc>
        <w:tc>
          <w:tcPr>
            <w:tcW w:w="5447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11.1学校建立食品安全校长（园长）负责制。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1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447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11.2中小学、幼儿园应当建立集中用餐陪餐制度。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1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447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11.3按要求在食品加工处理区安装了视频监控。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12．其他</w:t>
            </w:r>
          </w:p>
        </w:tc>
        <w:tc>
          <w:tcPr>
            <w:tcW w:w="5447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</w:tbl>
    <w:p>
      <w:pPr>
        <w:adjustRightInd w:val="0"/>
        <w:snapToGrid w:val="0"/>
        <w:spacing w:before="60"/>
        <w:rPr>
          <w:rFonts w:ascii="楷体_GB2312" w:eastAsia="楷体_GB2312"/>
          <w:sz w:val="22"/>
        </w:rPr>
      </w:pPr>
      <w:r>
        <w:rPr>
          <w:rFonts w:hint="eastAsia" w:ascii="楷体_GB2312" w:eastAsia="楷体_GB2312"/>
          <w:sz w:val="22"/>
        </w:rPr>
        <w:t>注：1．带★项目为关键项目；</w:t>
      </w:r>
    </w:p>
    <w:p>
      <w:pPr>
        <w:numPr>
          <w:ilvl w:val="0"/>
          <w:numId w:val="1"/>
        </w:numPr>
        <w:adjustRightInd w:val="0"/>
        <w:snapToGrid w:val="0"/>
        <w:ind w:firstLine="465"/>
        <w:rPr>
          <w:rFonts w:ascii="楷体_GB2312" w:eastAsia="楷体_GB2312"/>
          <w:sz w:val="22"/>
        </w:rPr>
      </w:pPr>
      <w:r>
        <w:rPr>
          <w:rFonts w:hint="eastAsia" w:ascii="楷体_GB2312" w:eastAsia="楷体_GB2312"/>
          <w:sz w:val="22"/>
        </w:rPr>
        <w:t>第12项“其他”指未事先列入表格内容，应根据风险大小计为关键项或一般项。</w:t>
      </w:r>
    </w:p>
    <w:p>
      <w:pPr>
        <w:adjustRightInd w:val="0"/>
        <w:snapToGrid w:val="0"/>
        <w:rPr>
          <w:rFonts w:ascii="楷体_GB2312" w:eastAsia="楷体_GB2312"/>
          <w:sz w:val="22"/>
        </w:rPr>
      </w:pPr>
    </w:p>
    <w:p>
      <w:pPr>
        <w:adjustRightInd w:val="0"/>
        <w:snapToGrid w:val="0"/>
        <w:rPr>
          <w:rFonts w:ascii="楷体_GB2312" w:eastAsia="楷体_GB2312"/>
          <w:sz w:val="22"/>
        </w:rPr>
      </w:pPr>
    </w:p>
    <w:p>
      <w:pPr>
        <w:adjustRightInd w:val="0"/>
        <w:snapToGrid w:val="0"/>
        <w:rPr>
          <w:rFonts w:ascii="楷体_GB2312" w:eastAsia="楷体_GB2312"/>
          <w:sz w:val="22"/>
        </w:rPr>
      </w:pPr>
    </w:p>
    <w:p>
      <w:pPr>
        <w:adjustRightInd w:val="0"/>
        <w:snapToGrid w:val="0"/>
        <w:rPr>
          <w:rFonts w:ascii="楷体_GB2312" w:eastAsia="楷体_GB2312"/>
          <w:sz w:val="22"/>
        </w:rPr>
      </w:pPr>
    </w:p>
    <w:p>
      <w:pPr>
        <w:adjustRightInd w:val="0"/>
        <w:snapToGrid w:val="0"/>
        <w:rPr>
          <w:rFonts w:ascii="楷体_GB2312" w:eastAsia="楷体_GB2312"/>
          <w:sz w:val="22"/>
        </w:rPr>
      </w:pPr>
    </w:p>
    <w:p>
      <w:pPr>
        <w:adjustRightInd w:val="0"/>
        <w:snapToGrid w:val="0"/>
        <w:rPr>
          <w:rFonts w:ascii="楷体_GB2312" w:eastAsia="楷体_GB2312"/>
          <w:sz w:val="22"/>
        </w:rPr>
      </w:pPr>
    </w:p>
    <w:p>
      <w:pPr>
        <w:adjustRightInd w:val="0"/>
        <w:snapToGrid w:val="0"/>
        <w:rPr>
          <w:rFonts w:ascii="楷体_GB2312" w:eastAsia="楷体_GB2312"/>
          <w:sz w:val="22"/>
        </w:rPr>
      </w:pPr>
    </w:p>
    <w:p>
      <w:pPr>
        <w:adjustRightInd w:val="0"/>
        <w:snapToGrid w:val="0"/>
        <w:rPr>
          <w:rFonts w:ascii="楷体_GB2312" w:eastAsia="楷体_GB2312"/>
          <w:sz w:val="22"/>
        </w:rPr>
      </w:pPr>
    </w:p>
    <w:p>
      <w:pPr>
        <w:adjustRightInd w:val="0"/>
        <w:snapToGrid w:val="0"/>
        <w:rPr>
          <w:rFonts w:ascii="楷体_GB2312" w:eastAsia="楷体_GB2312"/>
          <w:sz w:val="22"/>
        </w:rPr>
      </w:pPr>
    </w:p>
    <w:p>
      <w:pPr>
        <w:adjustRightInd w:val="0"/>
        <w:snapToGrid w:val="0"/>
        <w:rPr>
          <w:rFonts w:ascii="楷体_GB2312" w:eastAsia="楷体_GB2312"/>
          <w:sz w:val="22"/>
        </w:rPr>
      </w:pPr>
    </w:p>
    <w:p>
      <w:pPr>
        <w:adjustRightInd w:val="0"/>
        <w:snapToGrid w:val="0"/>
        <w:rPr>
          <w:rFonts w:ascii="楷体_GB2312" w:eastAsia="楷体_GB2312"/>
          <w:sz w:val="22"/>
        </w:rPr>
      </w:pPr>
    </w:p>
    <w:tbl>
      <w:tblPr>
        <w:tblStyle w:val="7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2268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07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7938" w:type="dxa"/>
            <w:gridSpan w:val="3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监督检查不符合项目具体内容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907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938" w:type="dxa"/>
            <w:gridSpan w:val="3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907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938" w:type="dxa"/>
            <w:gridSpan w:val="3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907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938" w:type="dxa"/>
            <w:gridSpan w:val="3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907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938" w:type="dxa"/>
            <w:gridSpan w:val="3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907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938" w:type="dxa"/>
            <w:gridSpan w:val="3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907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938" w:type="dxa"/>
            <w:gridSpan w:val="3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07" w:type="dxa"/>
            <w:vMerge w:val="restart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评价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标准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评价结论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关键项目不符合（项）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一般项目不符合（项）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07" w:type="dxa"/>
            <w:vMerge w:val="continue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良好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≤3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07" w:type="dxa"/>
            <w:vMerge w:val="continue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一般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4—6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07" w:type="dxa"/>
            <w:vMerge w:val="continue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0—3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07" w:type="dxa"/>
            <w:vMerge w:val="continue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较差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≥7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07" w:type="dxa"/>
            <w:vMerge w:val="continue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≥4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07" w:type="dxa"/>
            <w:vMerge w:val="continue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≥2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任意项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  <w:jc w:val="center"/>
        </w:trPr>
        <w:tc>
          <w:tcPr>
            <w:tcW w:w="907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检查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结果</w:t>
            </w:r>
          </w:p>
        </w:tc>
        <w:tc>
          <w:tcPr>
            <w:tcW w:w="7938" w:type="dxa"/>
            <w:gridSpan w:val="3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共29项，检查（　　）项，不适用（　　）项；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120" w:after="12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关键项不符合（　　）项，一般项不符合（　　）项；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结论（划√）：（1）良好、（2）一般、（3）较差</w:t>
            </w:r>
          </w:p>
        </w:tc>
      </w:tr>
    </w:tbl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288" w:lineRule="auto"/>
        <w:rPr>
          <w:rFonts w:hAnsi="宋体"/>
          <w:kern w:val="0"/>
          <w:sz w:val="36"/>
          <w:szCs w:val="36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288" w:lineRule="auto"/>
        <w:rPr>
          <w:rFonts w:hAnsi="宋体"/>
          <w:kern w:val="0"/>
          <w:sz w:val="36"/>
          <w:szCs w:val="36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288" w:lineRule="auto"/>
        <w:rPr>
          <w:rFonts w:ascii="仿宋_GB2312" w:hAnsi="仿宋_GB2312" w:eastAsia="仿宋_GB2312" w:cs="仿宋_GB2312"/>
          <w:kern w:val="0"/>
          <w:sz w:val="24"/>
          <w:szCs w:val="24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12" w:lineRule="auto"/>
        <w:ind w:firstLine="4871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自查单位（盖章）：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single"/>
        </w:rPr>
        <w:t>　　　　　　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ind w:right="480"/>
        <w:jc w:val="right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年　　月　　日</w:t>
      </w:r>
    </w:p>
    <w:p>
      <w:pPr>
        <w:tabs>
          <w:tab w:val="left" w:pos="5940"/>
        </w:tabs>
        <w:spacing w:line="560" w:lineRule="exact"/>
        <w:ind w:right="361" w:rightChars="172"/>
        <w:jc w:val="left"/>
        <w:rPr>
          <w:rFonts w:ascii="仿宋_GB2312" w:hAnsi="仿宋_GB2312" w:eastAsia="仿宋_GB2312" w:cs="仿宋_GB2312"/>
          <w:bCs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5940"/>
        </w:tabs>
        <w:adjustRightInd w:val="0"/>
        <w:snapToGrid w:val="0"/>
        <w:spacing w:line="336" w:lineRule="auto"/>
        <w:jc w:val="left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附件2</w:t>
      </w:r>
    </w:p>
    <w:p>
      <w:pPr>
        <w:tabs>
          <w:tab w:val="left" w:pos="5940"/>
        </w:tabs>
        <w:adjustRightInd w:val="0"/>
        <w:snapToGrid w:val="0"/>
        <w:jc w:val="center"/>
        <w:rPr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校园食品安全守护行动工作情况统计表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kern w:val="0"/>
          <w:sz w:val="32"/>
          <w:szCs w:val="32"/>
        </w:rPr>
      </w:pPr>
    </w:p>
    <w:tbl>
      <w:tblPr>
        <w:tblStyle w:val="7"/>
        <w:tblW w:w="91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040"/>
        <w:gridCol w:w="5673"/>
        <w:gridCol w:w="1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基本情况   </w:t>
            </w:r>
          </w:p>
        </w:tc>
        <w:tc>
          <w:tcPr>
            <w:tcW w:w="6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辖区内持证学校食堂数（家）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实施五常、6T等食品安全管理的单位数（家）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建立HACCP或ISO22000管理体系的单位数（家）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实施“明厨亮灶”数（家）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其中：视频式展示（家）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互联网式展示（家）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辖区内持证学生集体用餐配送单位数（家）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供应的学校数（个）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建立HACCP或ISO22000管理体系的单位数（家）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通过HACCP或ISO22000管理体系认证的单位数（家）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实施“明厨亮灶”数（家）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督促整改情况</w:t>
            </w:r>
          </w:p>
        </w:tc>
        <w:tc>
          <w:tcPr>
            <w:tcW w:w="10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学校食堂整改问题数量</w:t>
            </w:r>
          </w:p>
        </w:tc>
        <w:tc>
          <w:tcPr>
            <w:tcW w:w="5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原料进货查验把关不严格（家）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食品加工制作行为不规范（家）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餐具用具清洗消毒不彻底（家）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加工制作环境不清洁（家）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其他食品安全问题（家）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供餐单位整改问题数量</w:t>
            </w:r>
          </w:p>
        </w:tc>
        <w:tc>
          <w:tcPr>
            <w:tcW w:w="5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原料进货查验把关不严格（家）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食品加工制作行为不规范（家）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餐具用具清洗消毒不彻底（家）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加工制作环境不清洁（家）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食品分餐配送过程不合规（家）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其他食品安全问题（家）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监督检查和案件查处情况</w:t>
            </w:r>
          </w:p>
        </w:tc>
        <w:tc>
          <w:tcPr>
            <w:tcW w:w="6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监督检查数（户次）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下达责令改正通知书（份）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行政处罚立案数（起）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罚没金额（万元）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吊销许可证（家）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取缔无证经营（家）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移送公安机关案件数（起）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刑事立案数（起）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仿宋_GB2312" w:hAnsi="宋体" w:eastAsia="仿宋_GB2312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336" w:lineRule="auto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附件3</w:t>
      </w:r>
    </w:p>
    <w:p>
      <w:pPr>
        <w:adjustRightInd w:val="0"/>
        <w:snapToGrid w:val="0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学生集体供餐违法单位一览表</w:t>
      </w:r>
    </w:p>
    <w:p>
      <w:pPr>
        <w:adjustRightInd w:val="0"/>
        <w:snapToGrid w:val="0"/>
        <w:jc w:val="center"/>
        <w:rPr>
          <w:rFonts w:ascii="仿宋_GB2312" w:eastAsia="仿宋_GB2312"/>
          <w:bCs/>
          <w:sz w:val="32"/>
          <w:szCs w:val="32"/>
        </w:rPr>
      </w:pPr>
    </w:p>
    <w:tbl>
      <w:tblPr>
        <w:tblStyle w:val="7"/>
        <w:tblW w:w="1417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0"/>
        <w:gridCol w:w="3060"/>
        <w:gridCol w:w="3060"/>
        <w:gridCol w:w="3294"/>
        <w:gridCol w:w="24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 位 名 称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违法事实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整改情况</w:t>
            </w:r>
          </w:p>
        </w:tc>
        <w:tc>
          <w:tcPr>
            <w:tcW w:w="3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追踪复查情况</w:t>
            </w:r>
          </w:p>
        </w:tc>
        <w:tc>
          <w:tcPr>
            <w:tcW w:w="2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行政处罚情况(金额)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2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2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2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2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2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2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2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2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14170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注：违法单位包括：学校食堂、学生盒饭生产单位、学校食堂配送中心等。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方正小标宋简体" w:eastAsia="方正小标宋简体"/>
          <w:bCs/>
          <w:sz w:val="36"/>
          <w:szCs w:val="36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336" w:lineRule="auto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附件4</w:t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校园周边食品经营单位检查情况汇总表</w:t>
      </w:r>
    </w:p>
    <w:p>
      <w:pPr>
        <w:adjustRightInd w:val="0"/>
        <w:snapToGrid w:val="0"/>
        <w:spacing w:line="560" w:lineRule="exact"/>
        <w:rPr>
          <w:rFonts w:hAnsi="仿宋"/>
          <w:sz w:val="30"/>
          <w:szCs w:val="30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填报单位：                           日期：      年   月   日</w:t>
      </w:r>
    </w:p>
    <w:tbl>
      <w:tblPr>
        <w:tblStyle w:val="7"/>
        <w:tblW w:w="87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5"/>
        <w:gridCol w:w="3842"/>
        <w:gridCol w:w="26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3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3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校园周边食品经营单位总数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检查情况</w:t>
            </w:r>
          </w:p>
        </w:tc>
        <w:tc>
          <w:tcPr>
            <w:tcW w:w="3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出动执法人员（人次）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检查单位数（户次）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发现问题数（个）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其中：已完成整改数（个）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责令改正数（个）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查处情况</w:t>
            </w:r>
          </w:p>
        </w:tc>
        <w:tc>
          <w:tcPr>
            <w:tcW w:w="3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立案查处（件）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罚没金额（元）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吊销许可证（家）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涉嫌违法移送公安（宗）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24"/>
          <w:szCs w:val="24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填报人：            审核人：         联系电话：             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24"/>
          <w:szCs w:val="24"/>
        </w:rPr>
      </w:pPr>
    </w:p>
    <w:p>
      <w:pPr>
        <w:tabs>
          <w:tab w:val="left" w:pos="8844"/>
        </w:tabs>
        <w:adjustRightInd w:val="0"/>
        <w:snapToGrid w:val="0"/>
        <w:spacing w:line="360" w:lineRule="auto"/>
        <w:rPr>
          <w:szCs w:val="30"/>
        </w:rPr>
      </w:pPr>
    </w:p>
    <w:p>
      <w:pPr>
        <w:tabs>
          <w:tab w:val="left" w:pos="8844"/>
        </w:tabs>
        <w:adjustRightInd w:val="0"/>
        <w:snapToGrid w:val="0"/>
        <w:spacing w:line="360" w:lineRule="auto"/>
        <w:rPr>
          <w:szCs w:val="30"/>
        </w:rPr>
      </w:pPr>
    </w:p>
    <w:p>
      <w:pPr>
        <w:pStyle w:val="13"/>
        <w:snapToGrid w:val="0"/>
        <w:spacing w:line="384" w:lineRule="auto"/>
        <w:ind w:firstLine="268" w:firstLineChars="100"/>
        <w:rPr>
          <w:rFonts w:ascii="仿宋_GB2312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-24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.輈...">
    <w:altName w:val="方正仿宋_GBK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kern w:val="0"/>
        <w:sz w:val="28"/>
        <w:szCs w:val="28"/>
      </w:rPr>
    </w:pPr>
    <w:r>
      <w:rPr>
        <w:rFonts w:hint="eastAsia" w:ascii="宋体" w:hAnsi="宋体" w:eastAsia="宋体"/>
        <w:kern w:val="0"/>
        <w:sz w:val="28"/>
        <w:szCs w:val="28"/>
        <w:lang w:val="zh-CN"/>
      </w:rPr>
      <w:t>—</w:t>
    </w:r>
    <w:r>
      <w:rPr>
        <w:rFonts w:ascii="宋体" w:hAnsi="宋体" w:eastAsia="宋体"/>
        <w:kern w:val="0"/>
        <w:sz w:val="28"/>
        <w:szCs w:val="28"/>
        <w:lang w:val="zh-CN"/>
      </w:rPr>
      <w:t xml:space="preserve"> </w:t>
    </w:r>
    <w:r>
      <w:rPr>
        <w:rFonts w:ascii="宋体" w:hAnsi="宋体" w:eastAsia="宋体"/>
        <w:kern w:val="0"/>
        <w:sz w:val="28"/>
        <w:szCs w:val="28"/>
      </w:rPr>
      <w:fldChar w:fldCharType="begin"/>
    </w:r>
    <w:r>
      <w:rPr>
        <w:rFonts w:ascii="宋体" w:hAnsi="宋体" w:eastAsia="宋体"/>
        <w:kern w:val="0"/>
        <w:sz w:val="28"/>
        <w:szCs w:val="28"/>
      </w:rPr>
      <w:instrText xml:space="preserve"> PAGE    \* MERGEFORMAT </w:instrText>
    </w:r>
    <w:r>
      <w:rPr>
        <w:rFonts w:ascii="宋体" w:hAnsi="宋体" w:eastAsia="宋体"/>
        <w:kern w:val="0"/>
        <w:sz w:val="28"/>
        <w:szCs w:val="28"/>
      </w:rPr>
      <w:fldChar w:fldCharType="separate"/>
    </w:r>
    <w:r>
      <w:rPr>
        <w:rFonts w:ascii="宋体" w:hAnsi="宋体" w:eastAsia="宋体"/>
        <w:kern w:val="0"/>
        <w:sz w:val="28"/>
        <w:szCs w:val="28"/>
        <w:lang w:val="zh-CN"/>
      </w:rPr>
      <w:t>14</w:t>
    </w:r>
    <w:r>
      <w:rPr>
        <w:rFonts w:ascii="宋体" w:hAnsi="宋体" w:eastAsia="宋体"/>
        <w:kern w:val="0"/>
        <w:sz w:val="28"/>
        <w:szCs w:val="28"/>
      </w:rPr>
      <w:fldChar w:fldCharType="end"/>
    </w:r>
    <w:r>
      <w:rPr>
        <w:rFonts w:ascii="宋体" w:hAnsi="宋体" w:eastAsia="宋体"/>
        <w:kern w:val="0"/>
        <w:sz w:val="28"/>
        <w:szCs w:val="28"/>
        <w:lang w:val="zh-CN"/>
      </w:rPr>
      <w:t xml:space="preserve"> </w:t>
    </w:r>
    <w:r>
      <w:rPr>
        <w:rFonts w:hint="eastAsia" w:ascii="宋体" w:hAnsi="宋体" w:eastAsia="宋体"/>
        <w:kern w:val="0"/>
        <w:sz w:val="28"/>
        <w:szCs w:val="28"/>
        <w:lang w:val="zh-CN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B7492C"/>
    <w:multiLevelType w:val="singleLevel"/>
    <w:tmpl w:val="60B7492C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HorizontalSpacing w:val="99"/>
  <w:drawingGridVerticalSpacing w:val="579"/>
  <w:displayHorizont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68F"/>
    <w:rsid w:val="0006099D"/>
    <w:rsid w:val="000B183E"/>
    <w:rsid w:val="0011001D"/>
    <w:rsid w:val="00121C60"/>
    <w:rsid w:val="00163C76"/>
    <w:rsid w:val="00172A27"/>
    <w:rsid w:val="001A49CB"/>
    <w:rsid w:val="001C5252"/>
    <w:rsid w:val="001E55EE"/>
    <w:rsid w:val="00337AF6"/>
    <w:rsid w:val="0034116F"/>
    <w:rsid w:val="00383914"/>
    <w:rsid w:val="003D1C1B"/>
    <w:rsid w:val="00434431"/>
    <w:rsid w:val="00443C6C"/>
    <w:rsid w:val="00503A02"/>
    <w:rsid w:val="005C749C"/>
    <w:rsid w:val="006775A3"/>
    <w:rsid w:val="00682C4E"/>
    <w:rsid w:val="00691FE6"/>
    <w:rsid w:val="006D0799"/>
    <w:rsid w:val="0070473D"/>
    <w:rsid w:val="007F658C"/>
    <w:rsid w:val="009422D4"/>
    <w:rsid w:val="00956521"/>
    <w:rsid w:val="009E47F9"/>
    <w:rsid w:val="009E55A0"/>
    <w:rsid w:val="00A27B44"/>
    <w:rsid w:val="00A91937"/>
    <w:rsid w:val="00B3521A"/>
    <w:rsid w:val="00B9761B"/>
    <w:rsid w:val="00BD5D8C"/>
    <w:rsid w:val="00C252C4"/>
    <w:rsid w:val="00C53D67"/>
    <w:rsid w:val="00CA309C"/>
    <w:rsid w:val="00CA6D5A"/>
    <w:rsid w:val="00CB51FC"/>
    <w:rsid w:val="00DA2BEA"/>
    <w:rsid w:val="00E129AB"/>
    <w:rsid w:val="00E3695E"/>
    <w:rsid w:val="00E80E74"/>
    <w:rsid w:val="00EA0203"/>
    <w:rsid w:val="00EC028C"/>
    <w:rsid w:val="00EC79D0"/>
    <w:rsid w:val="00F9654C"/>
    <w:rsid w:val="06C82255"/>
    <w:rsid w:val="0A0E5F87"/>
    <w:rsid w:val="0DB907BF"/>
    <w:rsid w:val="12764FE9"/>
    <w:rsid w:val="13DE2CBF"/>
    <w:rsid w:val="188B02E5"/>
    <w:rsid w:val="1A5000C9"/>
    <w:rsid w:val="1B3F314F"/>
    <w:rsid w:val="1EA3757B"/>
    <w:rsid w:val="20265001"/>
    <w:rsid w:val="22140D01"/>
    <w:rsid w:val="23123AC8"/>
    <w:rsid w:val="237426C4"/>
    <w:rsid w:val="27AB1A6F"/>
    <w:rsid w:val="28941E53"/>
    <w:rsid w:val="2D7B2A96"/>
    <w:rsid w:val="2E8D4523"/>
    <w:rsid w:val="2F365B7C"/>
    <w:rsid w:val="2F675323"/>
    <w:rsid w:val="30470BC4"/>
    <w:rsid w:val="312F056C"/>
    <w:rsid w:val="31473EA1"/>
    <w:rsid w:val="33F77E99"/>
    <w:rsid w:val="3BBB3AEB"/>
    <w:rsid w:val="3C71243F"/>
    <w:rsid w:val="3F69348E"/>
    <w:rsid w:val="3FE16F77"/>
    <w:rsid w:val="40BF587B"/>
    <w:rsid w:val="41955C04"/>
    <w:rsid w:val="41ED064F"/>
    <w:rsid w:val="44EB074E"/>
    <w:rsid w:val="4EA43E6B"/>
    <w:rsid w:val="507031AA"/>
    <w:rsid w:val="52BA60F7"/>
    <w:rsid w:val="53C117BD"/>
    <w:rsid w:val="542A4FFC"/>
    <w:rsid w:val="54BA422E"/>
    <w:rsid w:val="56D97265"/>
    <w:rsid w:val="57087F7D"/>
    <w:rsid w:val="5C154485"/>
    <w:rsid w:val="5CAA5780"/>
    <w:rsid w:val="5D740E55"/>
    <w:rsid w:val="5D9E3FF6"/>
    <w:rsid w:val="5DBC7F62"/>
    <w:rsid w:val="5F38176D"/>
    <w:rsid w:val="5F3B70FB"/>
    <w:rsid w:val="6166547F"/>
    <w:rsid w:val="62B25220"/>
    <w:rsid w:val="663B64DA"/>
    <w:rsid w:val="689E2A02"/>
    <w:rsid w:val="69723809"/>
    <w:rsid w:val="6A2F514C"/>
    <w:rsid w:val="6A903FDB"/>
    <w:rsid w:val="6E1F259B"/>
    <w:rsid w:val="729E4745"/>
    <w:rsid w:val="739B4BDB"/>
    <w:rsid w:val="73C91E8E"/>
    <w:rsid w:val="7AD026E3"/>
    <w:rsid w:val="7D2E0E52"/>
    <w:rsid w:val="7D2F0BD4"/>
    <w:rsid w:val="7FBC3DAA"/>
    <w:rsid w:val="FCE7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6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eastAsia="仿宋_GB2312" w:asciiTheme="majorHAnsi" w:hAnsiTheme="majorHAnsi" w:cstheme="majorBidi"/>
      <w:b/>
      <w:bCs/>
      <w:sz w:val="32"/>
      <w:szCs w:val="32"/>
    </w:rPr>
  </w:style>
  <w:style w:type="character" w:styleId="9">
    <w:name w:val="page number"/>
    <w:basedOn w:val="8"/>
    <w:qFormat/>
    <w:uiPriority w:val="0"/>
  </w:style>
  <w:style w:type="paragraph" w:customStyle="1" w:styleId="10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仿宋_.輈..." w:hAnsi="仿宋_.輈..." w:eastAsia="仿宋_.輈..." w:cstheme="minorBidi"/>
      <w:color w:val="000000"/>
      <w:sz w:val="24"/>
      <w:lang w:val="en-US" w:eastAsia="zh-CN" w:bidi="ar-SA"/>
    </w:rPr>
  </w:style>
  <w:style w:type="character" w:customStyle="1" w:styleId="11">
    <w:name w:val="标题 Char"/>
    <w:basedOn w:val="8"/>
    <w:link w:val="6"/>
    <w:qFormat/>
    <w:uiPriority w:val="0"/>
    <w:rPr>
      <w:rFonts w:eastAsia="仿宋_GB2312" w:asciiTheme="majorHAnsi" w:hAnsiTheme="majorHAnsi" w:cstheme="majorBidi"/>
      <w:b/>
      <w:bCs/>
      <w:kern w:val="2"/>
      <w:sz w:val="32"/>
      <w:szCs w:val="32"/>
    </w:rPr>
  </w:style>
  <w:style w:type="character" w:customStyle="1" w:styleId="12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Calibri" w:hAnsi="Calibri" w:eastAsia="仿宋_GB2312" w:cs="Calibri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982</Words>
  <Characters>5603</Characters>
  <Lines>46</Lines>
  <Paragraphs>13</Paragraphs>
  <TotalTime>13</TotalTime>
  <ScaleCrop>false</ScaleCrop>
  <LinksUpToDate>false</LinksUpToDate>
  <CharactersWithSpaces>6572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2021-06-22T09:06:00Z</dcterms:created>
  <dc:creator>普陀区人民政府专用版</dc:creator>
  <cp:lastModifiedBy>thtf</cp:lastModifiedBy>
  <dcterms:modified xsi:type="dcterms:W3CDTF">2022-01-07T15:44:10Z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2D4734CC98AE40E0BCE7955AB0FA5167</vt:lpwstr>
  </property>
</Properties>
</file>