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9D" w:rsidRPr="000E414A" w:rsidRDefault="00CE0C4E" w:rsidP="000E414A">
      <w:pPr>
        <w:adjustRightInd w:val="0"/>
        <w:snapToGrid w:val="0"/>
        <w:spacing w:line="336" w:lineRule="auto"/>
        <w:jc w:val="left"/>
        <w:rPr>
          <w:rFonts w:ascii="黑体" w:eastAsia="黑体" w:hAnsi="黑体" w:cs="黑体"/>
          <w:bCs/>
          <w:sz w:val="32"/>
          <w:szCs w:val="32"/>
        </w:rPr>
      </w:pPr>
      <w:r w:rsidRPr="000E414A"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0E414A" w:rsidRPr="000E414A" w:rsidRDefault="000E414A" w:rsidP="008304F2">
      <w:pPr>
        <w:adjustRightInd w:val="0"/>
        <w:snapToGrid w:val="0"/>
        <w:jc w:val="center"/>
        <w:rPr>
          <w:rFonts w:ascii="仿宋_GB2312" w:eastAsia="仿宋_GB2312" w:hAnsi="黑体" w:cs="黑体"/>
          <w:bCs/>
          <w:sz w:val="32"/>
          <w:szCs w:val="32"/>
        </w:rPr>
      </w:pPr>
    </w:p>
    <w:p w:rsidR="0028059D" w:rsidRPr="000E414A" w:rsidRDefault="00CE0C4E" w:rsidP="000E414A">
      <w:pPr>
        <w:adjustRightInd w:val="0"/>
        <w:snapToGrid w:val="0"/>
        <w:jc w:val="center"/>
        <w:rPr>
          <w:rFonts w:ascii="方正小标宋简体" w:eastAsia="方正小标宋简体" w:hAnsi="仿宋" w:cs="仿宋"/>
          <w:bCs/>
          <w:sz w:val="30"/>
          <w:szCs w:val="30"/>
        </w:rPr>
      </w:pPr>
      <w:r w:rsidRPr="000E414A">
        <w:rPr>
          <w:rFonts w:ascii="方正小标宋简体" w:eastAsia="方正小标宋简体" w:hAnsi="黑体" w:cs="黑体" w:hint="eastAsia"/>
          <w:bCs/>
          <w:sz w:val="36"/>
          <w:szCs w:val="36"/>
        </w:rPr>
        <w:t>餐饮服务单位分餐制及公筷公勺检查情况汇总表</w:t>
      </w:r>
    </w:p>
    <w:p w:rsidR="008304F2" w:rsidRPr="008304F2" w:rsidRDefault="008304F2" w:rsidP="008304F2">
      <w:pPr>
        <w:adjustRightInd w:val="0"/>
        <w:snapToGrid w:val="0"/>
        <w:spacing w:line="336" w:lineRule="auto"/>
        <w:rPr>
          <w:rFonts w:ascii="仿宋_GB2312" w:eastAsia="仿宋_GB2312" w:hAnsi="仿宋" w:cs="仿宋"/>
          <w:bCs/>
          <w:sz w:val="32"/>
          <w:szCs w:val="32"/>
        </w:rPr>
      </w:pPr>
    </w:p>
    <w:p w:rsidR="008304F2" w:rsidRPr="000E414A" w:rsidRDefault="00CE0C4E">
      <w:pPr>
        <w:rPr>
          <w:rFonts w:ascii="仿宋_GB2312" w:eastAsia="仿宋_GB2312" w:hAnsi="仿宋" w:cs="仿宋"/>
          <w:bCs/>
          <w:sz w:val="30"/>
          <w:szCs w:val="30"/>
        </w:rPr>
      </w:pPr>
      <w:r w:rsidRPr="000E414A">
        <w:rPr>
          <w:rFonts w:ascii="仿宋_GB2312" w:eastAsia="仿宋_GB2312" w:hAnsi="仿宋" w:cs="仿宋" w:hint="eastAsia"/>
          <w:bCs/>
          <w:sz w:val="30"/>
          <w:szCs w:val="30"/>
        </w:rPr>
        <w:t>填报单位：                       填报日期：</w:t>
      </w:r>
    </w:p>
    <w:tbl>
      <w:tblPr>
        <w:tblW w:w="82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4629"/>
        <w:gridCol w:w="2009"/>
      </w:tblGrid>
      <w:tr w:rsidR="0028059D" w:rsidRPr="000E414A">
        <w:trPr>
          <w:trHeight w:hRule="exact" w:val="567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 w:rsidR="0028059D" w:rsidRPr="000E414A">
        <w:trPr>
          <w:trHeight w:hRule="exact" w:val="56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监督检查数（家）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28059D" w:rsidRPr="000E414A">
        <w:trPr>
          <w:trHeight w:hRule="exact" w:val="56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包括：食堂（家）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28059D" w:rsidRPr="000E414A">
        <w:trPr>
          <w:trHeight w:hRule="exact" w:val="56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  中型及以上餐饮单位（家）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28059D" w:rsidRPr="000E414A">
        <w:trPr>
          <w:trHeight w:hRule="exact" w:val="56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  小型餐饮服务提供者（家）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28059D" w:rsidRPr="000E414A">
        <w:trPr>
          <w:trHeight w:hRule="exact" w:val="56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监督检查和案件查处情况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监督检查数（户次）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28059D" w:rsidRPr="000E414A">
        <w:trPr>
          <w:trHeight w:hRule="exact" w:val="56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检查发现问题（</w:t>
            </w:r>
            <w:proofErr w:type="gramStart"/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28059D" w:rsidRPr="000E414A">
        <w:trPr>
          <w:trHeight w:hRule="exact" w:val="56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其中：未主动提供公筷公勺（</w:t>
            </w:r>
            <w:proofErr w:type="gramStart"/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28059D" w:rsidRPr="000E414A">
        <w:trPr>
          <w:trHeight w:hRule="exact" w:val="110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  公筷公勺与个人自用餐具未作区分（</w:t>
            </w:r>
            <w:proofErr w:type="gramStart"/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28059D" w:rsidRPr="000E414A">
        <w:trPr>
          <w:trHeight w:hRule="exact" w:val="70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  餐具清洗消毒保洁不到位（</w:t>
            </w:r>
            <w:proofErr w:type="gramStart"/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28059D" w:rsidRPr="000E414A">
        <w:trPr>
          <w:trHeight w:hRule="exact" w:val="111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  从业人员健康管理或个人卫生不到位（</w:t>
            </w:r>
            <w:proofErr w:type="gramStart"/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28059D" w:rsidRPr="000E414A">
        <w:trPr>
          <w:trHeight w:hRule="exact" w:val="56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问题整改完成（</w:t>
            </w:r>
            <w:proofErr w:type="gramStart"/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28059D" w:rsidRPr="000E414A">
        <w:trPr>
          <w:trHeight w:hRule="exact" w:val="56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下达责令改正通知书（份）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28059D" w:rsidRPr="000E414A">
        <w:trPr>
          <w:trHeight w:hRule="exact" w:val="56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CE0C4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0E414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行政处罚立案数（起）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9D" w:rsidRPr="000E414A" w:rsidRDefault="0028059D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</w:tbl>
    <w:p w:rsidR="0028059D" w:rsidRPr="000E414A" w:rsidRDefault="0028059D">
      <w:pPr>
        <w:pStyle w:val="a5"/>
        <w:jc w:val="both"/>
        <w:rPr>
          <w:rStyle w:val="a7"/>
          <w:rFonts w:ascii="黑体" w:eastAsia="黑体" w:hAnsi="黑体"/>
          <w:sz w:val="28"/>
          <w:szCs w:val="28"/>
        </w:rPr>
        <w:sectPr w:rsidR="0028059D" w:rsidRPr="000E414A" w:rsidSect="000E414A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28059D" w:rsidRPr="000E414A" w:rsidRDefault="00CE0C4E" w:rsidP="000E414A">
      <w:pPr>
        <w:adjustRightInd w:val="0"/>
        <w:snapToGrid w:val="0"/>
        <w:spacing w:line="336" w:lineRule="auto"/>
        <w:jc w:val="left"/>
        <w:rPr>
          <w:rFonts w:cs="黑体"/>
          <w:sz w:val="32"/>
          <w:szCs w:val="32"/>
        </w:rPr>
      </w:pPr>
      <w:r w:rsidRPr="000E414A">
        <w:rPr>
          <w:rFonts w:cs="黑体" w:hint="eastAsia"/>
          <w:sz w:val="32"/>
          <w:szCs w:val="32"/>
        </w:rPr>
        <w:lastRenderedPageBreak/>
        <w:t>附件2</w:t>
      </w:r>
    </w:p>
    <w:p w:rsidR="0028059D" w:rsidRPr="000E414A" w:rsidRDefault="00CE0C4E" w:rsidP="000E414A">
      <w:pPr>
        <w:adjustRightInd w:val="0"/>
        <w:snapToGrid w:val="0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0E414A">
        <w:rPr>
          <w:rFonts w:ascii="方正小标宋简体" w:eastAsia="方正小标宋简体" w:cs="黑体"/>
          <w:sz w:val="36"/>
          <w:szCs w:val="36"/>
        </w:rPr>
        <w:t>上海市药店疫情防控技术指南</w:t>
      </w:r>
    </w:p>
    <w:p w:rsidR="000E414A" w:rsidRPr="000E414A" w:rsidRDefault="000E414A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根据本市疫情防控工作部署，为全面落实零售药店哨点监测预警、场所与人员防护等疫情防控工作的要求，结合本市药店实际，制定本指南。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黑体" w:eastAsia="黑体" w:hAnsi="黑体" w:cs="Arial"/>
          <w:color w:val="222222"/>
          <w:sz w:val="32"/>
          <w:szCs w:val="32"/>
        </w:rPr>
      </w:pPr>
      <w:r w:rsidRPr="000E414A">
        <w:rPr>
          <w:rStyle w:val="a7"/>
          <w:rFonts w:ascii="黑体" w:eastAsia="黑体" w:hAnsi="黑体" w:cs="Arial" w:hint="eastAsia"/>
          <w:color w:val="222222"/>
          <w:szCs w:val="32"/>
        </w:rPr>
        <w:t>一、适用范围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本指南适用于新型冠状病毒肺炎流行期间，正常营业的上海市药店的疫情防控。主要包含药店的主体责任、入店购药者管理、专区管理等。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Style w:val="a7"/>
          <w:rFonts w:ascii="黑体" w:eastAsia="黑体"/>
        </w:rPr>
      </w:pPr>
      <w:r w:rsidRPr="000E414A">
        <w:rPr>
          <w:rStyle w:val="a7"/>
          <w:rFonts w:ascii="黑体" w:eastAsia="黑体" w:hAnsi="黑体" w:cs="Arial" w:hint="eastAsia"/>
          <w:color w:val="222222"/>
          <w:szCs w:val="32"/>
        </w:rPr>
        <w:t>二、药店的主体责任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药店的企业负责人是药店疫情防控的第一责任人，企业负责人要切实部署好防控各项管理要求，积极发挥药店的“哨点”监测预警作用。药店当班人员必须做好个人防护，穿工作服、佩戴口罩、佩戴胸卡，执业药师、药师挂药师胸牌，每日进行测温、登记，建立</w:t>
      </w:r>
      <w:proofErr w:type="gramStart"/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测温台</w:t>
      </w:r>
      <w:proofErr w:type="gramEnd"/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账备查。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Style w:val="a7"/>
          <w:rFonts w:ascii="黑体" w:eastAsia="黑体" w:hAnsi="黑体" w:cs="Arial"/>
          <w:color w:val="222222"/>
          <w:szCs w:val="32"/>
        </w:rPr>
      </w:pPr>
      <w:r w:rsidRPr="000E414A">
        <w:rPr>
          <w:rStyle w:val="a7"/>
          <w:rFonts w:ascii="黑体" w:eastAsia="黑体" w:hAnsi="黑体" w:cs="Arial" w:hint="eastAsia"/>
          <w:color w:val="222222"/>
          <w:szCs w:val="32"/>
        </w:rPr>
        <w:t>三、入店购药者管理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每个药店需派1人戴好口罩、手套，备好测温枪，在门口对入店购药者逐一询问是否购买“退烧止咳药”，将相关人员引导到专区（专柜）购买。</w:t>
      </w:r>
    </w:p>
    <w:p w:rsidR="0028059D" w:rsidRPr="008304F2" w:rsidRDefault="00CE0C4E" w:rsidP="008304F2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56"/>
        <w:jc w:val="both"/>
        <w:rPr>
          <w:rFonts w:ascii="仿宋_GB2312" w:eastAsia="仿宋_GB2312" w:hAnsi="仿宋" w:cs="Arial"/>
          <w:color w:val="222222"/>
          <w:spacing w:val="4"/>
          <w:sz w:val="32"/>
          <w:szCs w:val="32"/>
        </w:rPr>
      </w:pPr>
      <w:r w:rsidRPr="008304F2">
        <w:rPr>
          <w:rFonts w:ascii="仿宋_GB2312" w:eastAsia="仿宋_GB2312" w:hAnsi="仿宋" w:cs="Arial" w:hint="eastAsia"/>
          <w:color w:val="222222"/>
          <w:spacing w:val="4"/>
          <w:sz w:val="32"/>
          <w:szCs w:val="32"/>
        </w:rPr>
        <w:lastRenderedPageBreak/>
        <w:t>（一）对入店购药</w:t>
      </w:r>
      <w:proofErr w:type="gramStart"/>
      <w:r w:rsidRPr="008304F2">
        <w:rPr>
          <w:rFonts w:ascii="仿宋_GB2312" w:eastAsia="仿宋_GB2312" w:hAnsi="仿宋" w:cs="Arial" w:hint="eastAsia"/>
          <w:color w:val="222222"/>
          <w:spacing w:val="4"/>
          <w:sz w:val="32"/>
          <w:szCs w:val="32"/>
        </w:rPr>
        <w:t>者落实</w:t>
      </w:r>
      <w:proofErr w:type="gramEnd"/>
      <w:r w:rsidRPr="008304F2">
        <w:rPr>
          <w:rFonts w:ascii="仿宋_GB2312" w:eastAsia="仿宋_GB2312" w:hAnsi="仿宋" w:cs="Arial" w:hint="eastAsia"/>
          <w:color w:val="222222"/>
          <w:spacing w:val="4"/>
          <w:sz w:val="32"/>
          <w:szCs w:val="32"/>
        </w:rPr>
        <w:t>体温测量和健康码、行程码查验要求；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（二）对需要购买“退烧止咳药”的入店购药者，进行症状（发烧、咳嗽、乏力）和旅居史（1个月内到过境外或境内中高风险地区，或与此类人员有接触史）等关键信息询问，发现高度疑似</w:t>
      </w:r>
      <w:proofErr w:type="gramStart"/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情况第</w:t>
      </w:r>
      <w:proofErr w:type="gramEnd"/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一时间报告有关部门（电话：12345、12320）；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（三）入店购药者凡需购买“退烧止咳药”，应当要求其出示身份证，通过特殊药品监管系统进行实名登记后，引导消费者登录“随申办”小</w:t>
      </w:r>
      <w:proofErr w:type="gramStart"/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程序扫码验证</w:t>
      </w:r>
      <w:proofErr w:type="gramEnd"/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手机号后填报个人信息；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（四）应核对相关信息，并录入特殊管理药品监管系统，将购药信息进行关联上传。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Style w:val="a7"/>
          <w:rFonts w:ascii="黑体" w:eastAsia="黑体" w:hAnsi="黑体" w:cs="Arial"/>
          <w:color w:val="222222"/>
          <w:szCs w:val="32"/>
        </w:rPr>
      </w:pPr>
      <w:r w:rsidRPr="000E414A">
        <w:rPr>
          <w:rStyle w:val="a7"/>
          <w:rFonts w:ascii="黑体" w:eastAsia="黑体" w:hAnsi="黑体" w:cs="Arial" w:hint="eastAsia"/>
          <w:color w:val="222222"/>
          <w:szCs w:val="32"/>
        </w:rPr>
        <w:t>四、专人专区管理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药店是防控“哨点”，药店应设置“退烧止咳药”专区（专柜）并用指示牌标示，在门口醒目位置张贴</w:t>
      </w:r>
      <w:proofErr w:type="gramStart"/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告顾客书</w:t>
      </w:r>
      <w:proofErr w:type="gramEnd"/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，告明入店购药者为落实疫情防控要求，需要购买“退烧止咳药”的请配合到“退烧止咳药”专柜进行身份证实名登记和信息填报，店堂内对“退烧止咳药”实行专人专区（专柜）管理。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（一）应严格对照《“退烧止咳药”目录》梳理所经营药品的品种目录；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（二）应对正在售卖的“退烧止咳药”进行统一专人专区（专柜）管理；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lastRenderedPageBreak/>
        <w:t>（三）应结合方便购药和相对隔离的原则，在店内设置“退烧止咳药专区（专柜）”指示牌，确保药房疫情防控落实到位；</w:t>
      </w:r>
    </w:p>
    <w:p w:rsidR="0028059D" w:rsidRPr="000E414A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（四）强化个人防护管理，药店需明确专人负责“退烧止咳药”销售，做到与其他经营区域相对隔离，防止交叉感染，完善各项防控措施，开展全员专业培训；</w:t>
      </w:r>
    </w:p>
    <w:p w:rsidR="0028059D" w:rsidRDefault="00CE0C4E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  <w:r w:rsidRPr="000E414A">
        <w:rPr>
          <w:rFonts w:ascii="仿宋_GB2312" w:eastAsia="仿宋_GB2312" w:hAnsi="仿宋" w:cs="Arial" w:hint="eastAsia"/>
          <w:color w:val="222222"/>
          <w:sz w:val="32"/>
          <w:szCs w:val="32"/>
        </w:rPr>
        <w:t>（五）确保在接待“退烧止咳药”入店购药者后，应当及时规范实施从业人员与经营场所的消毒工作。</w:t>
      </w:r>
    </w:p>
    <w:p w:rsidR="008304F2" w:rsidRDefault="008304F2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</w:p>
    <w:p w:rsidR="008304F2" w:rsidRDefault="008304F2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</w:p>
    <w:p w:rsidR="008304F2" w:rsidRDefault="008304F2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</w:p>
    <w:p w:rsidR="008304F2" w:rsidRDefault="008304F2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</w:p>
    <w:p w:rsidR="008304F2" w:rsidRDefault="008304F2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</w:p>
    <w:p w:rsidR="008304F2" w:rsidRDefault="008304F2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</w:p>
    <w:p w:rsidR="008304F2" w:rsidRDefault="008304F2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</w:p>
    <w:p w:rsidR="008304F2" w:rsidRDefault="008304F2" w:rsidP="000E414A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</w:p>
    <w:p w:rsidR="008304F2" w:rsidRDefault="008304F2" w:rsidP="008304F2">
      <w:pPr>
        <w:pStyle w:val="a5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</w:p>
    <w:p w:rsidR="008304F2" w:rsidRDefault="008304F2" w:rsidP="008304F2">
      <w:pPr>
        <w:pStyle w:val="a5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</w:p>
    <w:p w:rsidR="008304F2" w:rsidRDefault="008304F2" w:rsidP="008304F2">
      <w:pPr>
        <w:pStyle w:val="a5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仿宋" w:cs="Arial"/>
          <w:color w:val="222222"/>
          <w:sz w:val="32"/>
          <w:szCs w:val="32"/>
        </w:rPr>
      </w:pPr>
    </w:p>
    <w:p w:rsidR="008304F2" w:rsidRPr="00AF45E8" w:rsidRDefault="008304F2" w:rsidP="00AF45E8">
      <w:pPr>
        <w:adjustRightInd w:val="0"/>
        <w:snapToGrid w:val="0"/>
        <w:spacing w:line="336" w:lineRule="auto"/>
        <w:rPr>
          <w:rFonts w:ascii="仿宋_GB2312"/>
        </w:rPr>
      </w:pPr>
    </w:p>
    <w:sectPr w:rsidR="008304F2" w:rsidRPr="00AF45E8" w:rsidSect="008304F2">
      <w:pgSz w:w="11906" w:h="16838" w:code="9"/>
      <w:pgMar w:top="2098" w:right="1474" w:bottom="1985" w:left="1588" w:header="851" w:footer="1418" w:gutter="0"/>
      <w:cols w:space="425"/>
      <w:docGrid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22" w:rsidRDefault="008F6522" w:rsidP="00D16C9E">
      <w:r>
        <w:separator/>
      </w:r>
    </w:p>
  </w:endnote>
  <w:endnote w:type="continuationSeparator" w:id="0">
    <w:p w:rsidR="008F6522" w:rsidRDefault="008F6522" w:rsidP="00D1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F2" w:rsidRPr="008304F2" w:rsidRDefault="008304F2" w:rsidP="008304F2">
    <w:pPr>
      <w:pStyle w:val="a3"/>
      <w:ind w:leftChars="100" w:left="210" w:rightChars="100" w:right="210"/>
      <w:rPr>
        <w:rFonts w:ascii="宋体" w:eastAsia="宋体" w:hAnsi="宋体"/>
        <w:sz w:val="28"/>
        <w:szCs w:val="28"/>
      </w:rPr>
    </w:pPr>
    <w:r w:rsidRPr="008304F2">
      <w:rPr>
        <w:rFonts w:ascii="宋体" w:eastAsia="宋体" w:hAnsi="宋体" w:hint="eastAsia"/>
        <w:sz w:val="28"/>
        <w:szCs w:val="28"/>
        <w:lang w:val="zh-CN"/>
      </w:rPr>
      <w:t>—</w:t>
    </w:r>
    <w:r w:rsidRPr="008304F2">
      <w:rPr>
        <w:rFonts w:ascii="宋体" w:eastAsia="宋体" w:hAnsi="宋体"/>
        <w:sz w:val="28"/>
        <w:szCs w:val="28"/>
        <w:lang w:val="zh-CN"/>
      </w:rPr>
      <w:t xml:space="preserve"> </w:t>
    </w:r>
    <w:r w:rsidR="006024A8" w:rsidRPr="008304F2">
      <w:rPr>
        <w:rFonts w:ascii="宋体" w:eastAsia="宋体" w:hAnsi="宋体"/>
        <w:sz w:val="28"/>
        <w:szCs w:val="28"/>
      </w:rPr>
      <w:fldChar w:fldCharType="begin"/>
    </w:r>
    <w:r w:rsidRPr="008304F2">
      <w:rPr>
        <w:rFonts w:ascii="宋体" w:eastAsia="宋体" w:hAnsi="宋体"/>
        <w:sz w:val="28"/>
        <w:szCs w:val="28"/>
      </w:rPr>
      <w:instrText xml:space="preserve"> PAGE    \* MERGEFORMAT </w:instrText>
    </w:r>
    <w:r w:rsidR="006024A8" w:rsidRPr="008304F2">
      <w:rPr>
        <w:rFonts w:ascii="宋体" w:eastAsia="宋体" w:hAnsi="宋体"/>
        <w:sz w:val="28"/>
        <w:szCs w:val="28"/>
      </w:rPr>
      <w:fldChar w:fldCharType="separate"/>
    </w:r>
    <w:r w:rsidRPr="008304F2">
      <w:rPr>
        <w:rFonts w:ascii="宋体" w:eastAsia="宋体" w:hAnsi="宋体"/>
        <w:noProof/>
        <w:sz w:val="28"/>
        <w:szCs w:val="28"/>
        <w:lang w:val="zh-CN"/>
      </w:rPr>
      <w:t>6</w:t>
    </w:r>
    <w:r w:rsidR="006024A8" w:rsidRPr="008304F2">
      <w:rPr>
        <w:rFonts w:ascii="宋体" w:eastAsia="宋体" w:hAnsi="宋体"/>
        <w:sz w:val="28"/>
        <w:szCs w:val="28"/>
      </w:rPr>
      <w:fldChar w:fldCharType="end"/>
    </w:r>
    <w:r w:rsidRPr="008304F2">
      <w:rPr>
        <w:rFonts w:ascii="宋体" w:eastAsia="宋体" w:hAnsi="宋体"/>
        <w:sz w:val="28"/>
        <w:szCs w:val="28"/>
        <w:lang w:val="zh-CN"/>
      </w:rPr>
      <w:t xml:space="preserve"> </w:t>
    </w:r>
    <w:r w:rsidRPr="008304F2">
      <w:rPr>
        <w:rFonts w:ascii="宋体" w:eastAsia="宋体" w:hAnsi="宋体" w:hint="eastAsia"/>
        <w:sz w:val="28"/>
        <w:szCs w:val="28"/>
        <w:lang w:val="zh-CN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76" w:rsidRPr="008304F2" w:rsidRDefault="008304F2" w:rsidP="008304F2">
    <w:pPr>
      <w:pStyle w:val="a3"/>
      <w:ind w:leftChars="100" w:left="210" w:rightChars="100" w:right="210"/>
      <w:jc w:val="right"/>
      <w:rPr>
        <w:rFonts w:ascii="宋体" w:eastAsia="宋体" w:hAnsi="宋体"/>
      </w:rPr>
    </w:pPr>
    <w:r w:rsidRPr="008304F2">
      <w:rPr>
        <w:rFonts w:ascii="宋体" w:eastAsia="宋体" w:hAnsi="宋体" w:hint="eastAsia"/>
        <w:sz w:val="28"/>
        <w:szCs w:val="28"/>
        <w:lang w:val="zh-CN"/>
      </w:rPr>
      <w:t>—</w:t>
    </w:r>
    <w:r w:rsidRPr="008304F2">
      <w:rPr>
        <w:rFonts w:ascii="宋体" w:eastAsia="宋体" w:hAnsi="宋体"/>
        <w:sz w:val="28"/>
        <w:szCs w:val="28"/>
        <w:lang w:val="zh-CN"/>
      </w:rPr>
      <w:t xml:space="preserve"> </w:t>
    </w:r>
    <w:r w:rsidR="006024A8" w:rsidRPr="008304F2">
      <w:rPr>
        <w:rFonts w:ascii="宋体" w:eastAsia="宋体" w:hAnsi="宋体"/>
        <w:sz w:val="28"/>
        <w:szCs w:val="28"/>
        <w:lang w:val="zh-CN"/>
      </w:rPr>
      <w:fldChar w:fldCharType="begin"/>
    </w:r>
    <w:r w:rsidRPr="008304F2">
      <w:rPr>
        <w:rFonts w:ascii="宋体" w:eastAsia="宋体" w:hAnsi="宋体"/>
        <w:sz w:val="28"/>
        <w:szCs w:val="28"/>
        <w:lang w:val="zh-CN"/>
      </w:rPr>
      <w:instrText xml:space="preserve"> PAGE    \* MERGEFORMAT </w:instrText>
    </w:r>
    <w:r w:rsidR="006024A8" w:rsidRPr="008304F2">
      <w:rPr>
        <w:rFonts w:ascii="宋体" w:eastAsia="宋体" w:hAnsi="宋体"/>
        <w:sz w:val="28"/>
        <w:szCs w:val="28"/>
        <w:lang w:val="zh-CN"/>
      </w:rPr>
      <w:fldChar w:fldCharType="separate"/>
    </w:r>
    <w:r w:rsidR="00AF45E8">
      <w:rPr>
        <w:rFonts w:ascii="宋体" w:eastAsia="宋体" w:hAnsi="宋体"/>
        <w:noProof/>
        <w:sz w:val="28"/>
        <w:szCs w:val="28"/>
        <w:lang w:val="zh-CN"/>
      </w:rPr>
      <w:t>1</w:t>
    </w:r>
    <w:r w:rsidR="006024A8" w:rsidRPr="008304F2">
      <w:rPr>
        <w:rFonts w:ascii="宋体" w:eastAsia="宋体" w:hAnsi="宋体"/>
        <w:sz w:val="28"/>
        <w:szCs w:val="28"/>
        <w:lang w:val="zh-CN"/>
      </w:rPr>
      <w:fldChar w:fldCharType="end"/>
    </w:r>
    <w:r w:rsidRPr="008304F2">
      <w:rPr>
        <w:rFonts w:ascii="宋体" w:eastAsia="宋体" w:hAnsi="宋体"/>
        <w:sz w:val="28"/>
        <w:szCs w:val="28"/>
        <w:lang w:val="zh-CN"/>
      </w:rPr>
      <w:t xml:space="preserve"> </w:t>
    </w:r>
    <w:r w:rsidRPr="008304F2">
      <w:rPr>
        <w:rFonts w:ascii="宋体" w:eastAsia="宋体" w:hAnsi="宋体" w:hint="eastAsia"/>
        <w:sz w:val="28"/>
        <w:szCs w:val="28"/>
        <w:lang w:val="zh-CN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22" w:rsidRDefault="008F6522" w:rsidP="00D16C9E">
      <w:r>
        <w:separator/>
      </w:r>
    </w:p>
  </w:footnote>
  <w:footnote w:type="continuationSeparator" w:id="0">
    <w:p w:rsidR="008F6522" w:rsidRDefault="008F6522" w:rsidP="00D16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B1D5B"/>
    <w:rsid w:val="00025BDE"/>
    <w:rsid w:val="000E414A"/>
    <w:rsid w:val="001216D3"/>
    <w:rsid w:val="001411CA"/>
    <w:rsid w:val="00163806"/>
    <w:rsid w:val="001B3188"/>
    <w:rsid w:val="001E466B"/>
    <w:rsid w:val="0028059D"/>
    <w:rsid w:val="002B4CD3"/>
    <w:rsid w:val="002C0E14"/>
    <w:rsid w:val="003A56E7"/>
    <w:rsid w:val="003E5C76"/>
    <w:rsid w:val="00414DB8"/>
    <w:rsid w:val="004162C7"/>
    <w:rsid w:val="00427804"/>
    <w:rsid w:val="004303E4"/>
    <w:rsid w:val="004673E3"/>
    <w:rsid w:val="0049733F"/>
    <w:rsid w:val="004B1D5B"/>
    <w:rsid w:val="004B46CB"/>
    <w:rsid w:val="004F7B14"/>
    <w:rsid w:val="00591CB0"/>
    <w:rsid w:val="005A7CB3"/>
    <w:rsid w:val="006024A8"/>
    <w:rsid w:val="006630B3"/>
    <w:rsid w:val="00673852"/>
    <w:rsid w:val="00674D9E"/>
    <w:rsid w:val="006A546A"/>
    <w:rsid w:val="006B7CEA"/>
    <w:rsid w:val="006E6B4A"/>
    <w:rsid w:val="006F6877"/>
    <w:rsid w:val="0071036E"/>
    <w:rsid w:val="0071468F"/>
    <w:rsid w:val="00756CA7"/>
    <w:rsid w:val="00775403"/>
    <w:rsid w:val="007765F5"/>
    <w:rsid w:val="007B5C6E"/>
    <w:rsid w:val="007D2543"/>
    <w:rsid w:val="008304F2"/>
    <w:rsid w:val="00831AB5"/>
    <w:rsid w:val="008F6522"/>
    <w:rsid w:val="00922D18"/>
    <w:rsid w:val="00990FF1"/>
    <w:rsid w:val="009B0265"/>
    <w:rsid w:val="009B7CE8"/>
    <w:rsid w:val="00A429AA"/>
    <w:rsid w:val="00A56079"/>
    <w:rsid w:val="00AF45E8"/>
    <w:rsid w:val="00B22CED"/>
    <w:rsid w:val="00B42BB7"/>
    <w:rsid w:val="00B86C30"/>
    <w:rsid w:val="00BC22C9"/>
    <w:rsid w:val="00BF50BB"/>
    <w:rsid w:val="00BF7EA1"/>
    <w:rsid w:val="00C2038A"/>
    <w:rsid w:val="00C44A2E"/>
    <w:rsid w:val="00CE0C4E"/>
    <w:rsid w:val="00D05372"/>
    <w:rsid w:val="00D16C9E"/>
    <w:rsid w:val="00D21E1B"/>
    <w:rsid w:val="00D60C0A"/>
    <w:rsid w:val="00D62699"/>
    <w:rsid w:val="00D70DF1"/>
    <w:rsid w:val="00D91FFD"/>
    <w:rsid w:val="00DD0C40"/>
    <w:rsid w:val="00ED4F4A"/>
    <w:rsid w:val="00F33317"/>
    <w:rsid w:val="00F5141F"/>
    <w:rsid w:val="00F87740"/>
    <w:rsid w:val="00F919AE"/>
    <w:rsid w:val="00F954C2"/>
    <w:rsid w:val="045D46D7"/>
    <w:rsid w:val="05DE2E9D"/>
    <w:rsid w:val="0EBE42A8"/>
    <w:rsid w:val="15DF7FD7"/>
    <w:rsid w:val="16014AE1"/>
    <w:rsid w:val="184D509F"/>
    <w:rsid w:val="1C275605"/>
    <w:rsid w:val="1D4B636E"/>
    <w:rsid w:val="1F5D5568"/>
    <w:rsid w:val="2C1204BA"/>
    <w:rsid w:val="318F48B2"/>
    <w:rsid w:val="32603154"/>
    <w:rsid w:val="344D036B"/>
    <w:rsid w:val="35A333E3"/>
    <w:rsid w:val="3F327DCE"/>
    <w:rsid w:val="42D43209"/>
    <w:rsid w:val="43F56A06"/>
    <w:rsid w:val="47F71DAA"/>
    <w:rsid w:val="486A1DE4"/>
    <w:rsid w:val="493836A6"/>
    <w:rsid w:val="4ADB5D79"/>
    <w:rsid w:val="4BE77FE7"/>
    <w:rsid w:val="4C0D5756"/>
    <w:rsid w:val="52427E0E"/>
    <w:rsid w:val="5C8C6C90"/>
    <w:rsid w:val="5D453A77"/>
    <w:rsid w:val="5D5B4E69"/>
    <w:rsid w:val="5DED14DF"/>
    <w:rsid w:val="625B79DD"/>
    <w:rsid w:val="63110CAB"/>
    <w:rsid w:val="63920E39"/>
    <w:rsid w:val="647C57B7"/>
    <w:rsid w:val="6B6909DC"/>
    <w:rsid w:val="77806E00"/>
    <w:rsid w:val="79EE5BA3"/>
    <w:rsid w:val="7CA2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80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80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2805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304F2"/>
    <w:pPr>
      <w:spacing w:before="240" w:after="60"/>
      <w:jc w:val="center"/>
      <w:outlineLvl w:val="0"/>
    </w:pPr>
    <w:rPr>
      <w:rFonts w:ascii="Times New Roman" w:eastAsia="仿宋_GB2312" w:hAnsi="Times New Roman" w:cstheme="majorBidi"/>
      <w:bCs/>
      <w:sz w:val="32"/>
      <w:szCs w:val="32"/>
    </w:rPr>
  </w:style>
  <w:style w:type="character" w:styleId="a7">
    <w:name w:val="Strong"/>
    <w:basedOn w:val="a0"/>
    <w:qFormat/>
    <w:rsid w:val="000E414A"/>
    <w:rPr>
      <w:rFonts w:eastAsia="仿宋_GB2312"/>
      <w:sz w:val="32"/>
    </w:rPr>
  </w:style>
  <w:style w:type="table" w:styleId="a8">
    <w:name w:val="Table Grid"/>
    <w:basedOn w:val="a1"/>
    <w:uiPriority w:val="39"/>
    <w:qFormat/>
    <w:rsid w:val="0028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8059D"/>
    <w:pPr>
      <w:ind w:firstLineChars="200" w:firstLine="420"/>
    </w:pPr>
  </w:style>
  <w:style w:type="character" w:customStyle="1" w:styleId="Char1">
    <w:name w:val="标题 Char"/>
    <w:basedOn w:val="a0"/>
    <w:link w:val="a6"/>
    <w:uiPriority w:val="10"/>
    <w:qFormat/>
    <w:rsid w:val="008304F2"/>
    <w:rPr>
      <w:rFonts w:eastAsia="仿宋_GB2312" w:cstheme="majorBidi"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28059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8059D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E414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E414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List Paragraph"/>
    <w:basedOn w:val="a"/>
    <w:uiPriority w:val="34"/>
    <w:unhideWhenUsed/>
    <w:qFormat/>
    <w:rsid w:val="008304F2"/>
    <w:pPr>
      <w:ind w:firstLineChars="200" w:firstLine="420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 亦宸</dc:creator>
  <cp:lastModifiedBy>ntko</cp:lastModifiedBy>
  <cp:revision>2</cp:revision>
  <dcterms:created xsi:type="dcterms:W3CDTF">2021-04-22T00:39:00Z</dcterms:created>
  <dcterms:modified xsi:type="dcterms:W3CDTF">2021-04-22T00:39:00Z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