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4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1559"/>
        <w:gridCol w:w="6630"/>
        <w:gridCol w:w="4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blHeader/>
          <w:jc w:val="center"/>
        </w:trPr>
        <w:tc>
          <w:tcPr>
            <w:tcW w:w="534" w:type="dxa"/>
            <w:vAlign w:val="center"/>
          </w:tcPr>
          <w:p>
            <w:pPr>
              <w:jc w:val="center"/>
              <w:rPr>
                <w:rStyle w:val="7"/>
                <w:highlight w:val="none"/>
              </w:rPr>
            </w:pPr>
            <w:r>
              <w:rPr>
                <w:rStyle w:val="7"/>
                <w:highlight w:val="none"/>
              </w:rPr>
              <w:t>类别</w:t>
            </w:r>
          </w:p>
        </w:tc>
        <w:tc>
          <w:tcPr>
            <w:tcW w:w="567" w:type="dxa"/>
            <w:vAlign w:val="center"/>
          </w:tcPr>
          <w:p>
            <w:pPr>
              <w:jc w:val="center"/>
              <w:rPr>
                <w:rStyle w:val="7"/>
                <w:highlight w:val="none"/>
              </w:rPr>
            </w:pPr>
            <w:r>
              <w:rPr>
                <w:rStyle w:val="7"/>
                <w:rFonts w:hint="eastAsia"/>
                <w:highlight w:val="none"/>
              </w:rPr>
              <w:t>序号</w:t>
            </w:r>
          </w:p>
        </w:tc>
        <w:tc>
          <w:tcPr>
            <w:tcW w:w="1559" w:type="dxa"/>
            <w:vAlign w:val="center"/>
          </w:tcPr>
          <w:p>
            <w:pPr>
              <w:jc w:val="center"/>
              <w:rPr>
                <w:rStyle w:val="7"/>
                <w:highlight w:val="none"/>
              </w:rPr>
            </w:pPr>
            <w:r>
              <w:rPr>
                <w:rStyle w:val="7"/>
                <w:highlight w:val="none"/>
              </w:rPr>
              <w:t>资助事项</w:t>
            </w:r>
          </w:p>
        </w:tc>
        <w:tc>
          <w:tcPr>
            <w:tcW w:w="6630" w:type="dxa"/>
            <w:vAlign w:val="center"/>
          </w:tcPr>
          <w:p>
            <w:pPr>
              <w:jc w:val="center"/>
              <w:rPr>
                <w:rStyle w:val="7"/>
                <w:highlight w:val="none"/>
              </w:rPr>
            </w:pPr>
            <w:r>
              <w:rPr>
                <w:rStyle w:val="7"/>
                <w:rFonts w:hint="eastAsia"/>
                <w:highlight w:val="none"/>
              </w:rPr>
              <w:t>申报条件与扶持</w:t>
            </w:r>
            <w:r>
              <w:rPr>
                <w:rStyle w:val="7"/>
                <w:highlight w:val="none"/>
              </w:rPr>
              <w:t>方式</w:t>
            </w:r>
          </w:p>
        </w:tc>
        <w:tc>
          <w:tcPr>
            <w:tcW w:w="4164" w:type="dxa"/>
            <w:vAlign w:val="center"/>
          </w:tcPr>
          <w:p>
            <w:pPr>
              <w:jc w:val="center"/>
              <w:rPr>
                <w:rStyle w:val="7"/>
                <w:highlight w:val="none"/>
              </w:rPr>
            </w:pPr>
            <w:r>
              <w:rPr>
                <w:rStyle w:val="7"/>
                <w:highlight w:val="none"/>
              </w:rPr>
              <w:t>申报</w:t>
            </w:r>
            <w:r>
              <w:rPr>
                <w:rStyle w:val="7"/>
                <w:rFonts w:hint="eastAsia"/>
                <w:highlight w:val="none"/>
              </w:rPr>
              <w:t>材料(除项目申请书规定外)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exact"/>
          <w:jc w:val="center"/>
        </w:trPr>
        <w:tc>
          <w:tcPr>
            <w:tcW w:w="534" w:type="dxa"/>
            <w:vMerge w:val="restart"/>
            <w:vAlign w:val="center"/>
          </w:tcPr>
          <w:p>
            <w:pPr>
              <w:jc w:val="center"/>
              <w:rPr>
                <w:highlight w:val="none"/>
              </w:rPr>
            </w:pPr>
            <w:r>
              <w:rPr>
                <w:rFonts w:hint="eastAsia"/>
                <w:highlight w:val="none"/>
              </w:rPr>
              <w:t>A支持网络游戏企业培育发展</w:t>
            </w:r>
          </w:p>
          <w:p>
            <w:pPr>
              <w:jc w:val="center"/>
              <w:rPr>
                <w:highlight w:val="none"/>
              </w:rPr>
            </w:pPr>
          </w:p>
        </w:tc>
        <w:tc>
          <w:tcPr>
            <w:tcW w:w="567" w:type="dxa"/>
            <w:vAlign w:val="center"/>
          </w:tcPr>
          <w:p>
            <w:pPr>
              <w:jc w:val="center"/>
              <w:rPr>
                <w:highlight w:val="none"/>
              </w:rPr>
            </w:pPr>
            <w:r>
              <w:rPr>
                <w:rFonts w:hint="eastAsia"/>
                <w:highlight w:val="none"/>
              </w:rPr>
              <w:t>1</w:t>
            </w:r>
          </w:p>
        </w:tc>
        <w:tc>
          <w:tcPr>
            <w:tcW w:w="1559" w:type="dxa"/>
            <w:vAlign w:val="center"/>
          </w:tcPr>
          <w:p>
            <w:pPr>
              <w:jc w:val="both"/>
              <w:rPr>
                <w:highlight w:val="none"/>
              </w:rPr>
            </w:pPr>
            <w:r>
              <w:rPr>
                <w:rFonts w:hint="eastAsia"/>
                <w:highlight w:val="none"/>
              </w:rPr>
              <w:t>支持网络游戏企业做大做强</w:t>
            </w:r>
          </w:p>
        </w:tc>
        <w:tc>
          <w:tcPr>
            <w:tcW w:w="6630" w:type="dxa"/>
            <w:vAlign w:val="center"/>
          </w:tcPr>
          <w:p>
            <w:pPr>
              <w:jc w:val="both"/>
              <w:rPr>
                <w:highlight w:val="none"/>
              </w:rPr>
            </w:pPr>
            <w:r>
              <w:rPr>
                <w:rFonts w:hint="eastAsia"/>
                <w:highlight w:val="none"/>
              </w:rPr>
              <w:t>对于经认定的以网络游戏产品及服务为主营业务的企业，按照经第三方审计的上两年度营业收入，对</w:t>
            </w:r>
            <w:r>
              <w:rPr>
                <w:rFonts w:hint="eastAsia"/>
                <w:highlight w:val="none"/>
                <w:lang w:eastAsia="zh-CN"/>
              </w:rPr>
              <w:t>在</w:t>
            </w:r>
            <w:bookmarkStart w:id="0" w:name="_GoBack"/>
            <w:bookmarkEnd w:id="0"/>
            <w:r>
              <w:rPr>
                <w:rFonts w:hint="eastAsia"/>
                <w:highlight w:val="none"/>
                <w:lang w:val="en-US" w:eastAsia="zh-CN"/>
              </w:rPr>
              <w:t>2018年企业主营业务收入</w:t>
            </w:r>
            <w:r>
              <w:rPr>
                <w:rFonts w:hint="eastAsia"/>
                <w:highlight w:val="none"/>
              </w:rPr>
              <w:t>首次分别达到50亿元、20亿元、10亿元、5亿元的企业，根据其对区域的经济贡献度，分别给予其核心团队最高不超过500万元、200万元、100万元、50万元的一次性奖励，核心团队个人奖励金额最高不超过50万元。</w:t>
            </w:r>
          </w:p>
        </w:tc>
        <w:tc>
          <w:tcPr>
            <w:tcW w:w="4164" w:type="dxa"/>
            <w:vAlign w:val="center"/>
          </w:tcPr>
          <w:p>
            <w:pPr>
              <w:jc w:val="both"/>
              <w:rPr>
                <w:bCs/>
                <w:kern w:val="0"/>
                <w:highlight w:val="none"/>
              </w:rPr>
            </w:pPr>
            <w:r>
              <w:rPr>
                <w:bCs/>
                <w:kern w:val="0"/>
                <w:highlight w:val="none"/>
              </w:rPr>
              <w:t>1、企业营业执照</w:t>
            </w:r>
            <w:r>
              <w:rPr>
                <w:rFonts w:hint="eastAsia"/>
                <w:bCs/>
                <w:kern w:val="0"/>
                <w:highlight w:val="none"/>
              </w:rPr>
              <w:t>；2、经会计师事务所审计后的上两年度财务报表；3、企业上两年度纳税证明；4、</w:t>
            </w:r>
            <w:r>
              <w:rPr>
                <w:bCs/>
                <w:kern w:val="0"/>
                <w:highlight w:val="none"/>
              </w:rPr>
              <w:t>企业</w:t>
            </w:r>
            <w:r>
              <w:rPr>
                <w:rFonts w:hint="eastAsia"/>
                <w:bCs/>
                <w:kern w:val="0"/>
                <w:highlight w:val="none"/>
              </w:rPr>
              <w:t>管理及研发核心</w:t>
            </w:r>
            <w:r>
              <w:rPr>
                <w:bCs/>
                <w:kern w:val="0"/>
                <w:highlight w:val="none"/>
              </w:rPr>
              <w:t>团队人员清单。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534" w:type="dxa"/>
            <w:vMerge w:val="continue"/>
            <w:vAlign w:val="center"/>
          </w:tcPr>
          <w:p>
            <w:pPr>
              <w:jc w:val="center"/>
              <w:rPr>
                <w:highlight w:val="none"/>
              </w:rPr>
            </w:pPr>
          </w:p>
        </w:tc>
        <w:tc>
          <w:tcPr>
            <w:tcW w:w="567" w:type="dxa"/>
            <w:vAlign w:val="center"/>
          </w:tcPr>
          <w:p>
            <w:pPr>
              <w:jc w:val="center"/>
              <w:rPr>
                <w:highlight w:val="none"/>
              </w:rPr>
            </w:pPr>
            <w:r>
              <w:rPr>
                <w:rFonts w:hint="eastAsia"/>
                <w:highlight w:val="none"/>
              </w:rPr>
              <w:t>2</w:t>
            </w:r>
          </w:p>
        </w:tc>
        <w:tc>
          <w:tcPr>
            <w:tcW w:w="1559" w:type="dxa"/>
            <w:vAlign w:val="center"/>
          </w:tcPr>
          <w:p>
            <w:pPr>
              <w:jc w:val="both"/>
              <w:rPr>
                <w:highlight w:val="none"/>
              </w:rPr>
            </w:pPr>
            <w:r>
              <w:rPr>
                <w:rFonts w:hint="eastAsia"/>
                <w:highlight w:val="none"/>
              </w:rPr>
              <w:t>鼓励网络游戏企业自主研发</w:t>
            </w:r>
          </w:p>
        </w:tc>
        <w:tc>
          <w:tcPr>
            <w:tcW w:w="6630" w:type="dxa"/>
            <w:vAlign w:val="center"/>
          </w:tcPr>
          <w:p>
            <w:pPr>
              <w:jc w:val="both"/>
              <w:rPr>
                <w:highlight w:val="none"/>
              </w:rPr>
            </w:pPr>
            <w:r>
              <w:rPr>
                <w:rFonts w:hint="eastAsia"/>
                <w:highlight w:val="none"/>
              </w:rPr>
              <w:t>鼓励网络游戏企业自主研发原创网络游戏产品，支持具有自主知识产权的网络游戏技术研发项目，按投资额30%以内比例，给予企业最高不超过200万元的补贴。项目立项后，先行拨付支持资金的30%；在中期评估通过后再拨付40%；项目完成后，根据项目验收结果再行拨付剩余30%余款。</w:t>
            </w:r>
          </w:p>
        </w:tc>
        <w:tc>
          <w:tcPr>
            <w:tcW w:w="4164" w:type="dxa"/>
            <w:vAlign w:val="center"/>
          </w:tcPr>
          <w:p>
            <w:pPr>
              <w:jc w:val="both"/>
              <w:rPr>
                <w:bCs/>
                <w:kern w:val="0"/>
                <w:highlight w:val="none"/>
              </w:rPr>
            </w:pPr>
            <w:r>
              <w:rPr>
                <w:bCs/>
                <w:kern w:val="0"/>
                <w:highlight w:val="none"/>
              </w:rPr>
              <w:t>1、企业营业执照</w:t>
            </w:r>
            <w:r>
              <w:rPr>
                <w:rFonts w:hint="eastAsia"/>
                <w:bCs/>
                <w:kern w:val="0"/>
                <w:highlight w:val="none"/>
              </w:rPr>
              <w:t>；2、经会计师事务所审计后的上两年度财务报表；3</w:t>
            </w:r>
            <w:r>
              <w:rPr>
                <w:bCs/>
                <w:kern w:val="0"/>
                <w:highlight w:val="none"/>
              </w:rPr>
              <w:t>、项目</w:t>
            </w:r>
            <w:r>
              <w:rPr>
                <w:rFonts w:hint="eastAsia"/>
                <w:bCs/>
                <w:kern w:val="0"/>
                <w:highlight w:val="none"/>
              </w:rPr>
              <w:t>可行性报告（包括</w:t>
            </w:r>
            <w:r>
              <w:rPr>
                <w:bCs/>
                <w:kern w:val="0"/>
                <w:highlight w:val="none"/>
              </w:rPr>
              <w:t>实施内容、计划、技术路线</w:t>
            </w:r>
            <w:r>
              <w:rPr>
                <w:rFonts w:hint="eastAsia"/>
                <w:bCs/>
                <w:kern w:val="0"/>
                <w:highlight w:val="none"/>
              </w:rPr>
              <w:t>、知识产权证明</w:t>
            </w:r>
            <w:r>
              <w:rPr>
                <w:bCs/>
                <w:kern w:val="0"/>
                <w:highlight w:val="none"/>
              </w:rPr>
              <w:t>、</w:t>
            </w:r>
            <w:r>
              <w:rPr>
                <w:rFonts w:hint="eastAsia"/>
                <w:bCs/>
                <w:kern w:val="0"/>
                <w:highlight w:val="none"/>
              </w:rPr>
              <w:t>创新成果试制的产业化目标和计划）；4、其他相关附件及证明材料。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exact"/>
          <w:jc w:val="center"/>
        </w:trPr>
        <w:tc>
          <w:tcPr>
            <w:tcW w:w="534" w:type="dxa"/>
            <w:vMerge w:val="continue"/>
            <w:vAlign w:val="center"/>
          </w:tcPr>
          <w:p>
            <w:pPr>
              <w:jc w:val="center"/>
              <w:rPr>
                <w:highlight w:val="none"/>
              </w:rPr>
            </w:pPr>
          </w:p>
        </w:tc>
        <w:tc>
          <w:tcPr>
            <w:tcW w:w="567" w:type="dxa"/>
            <w:vAlign w:val="center"/>
          </w:tcPr>
          <w:p>
            <w:pPr>
              <w:jc w:val="center"/>
              <w:rPr>
                <w:highlight w:val="none"/>
              </w:rPr>
            </w:pPr>
            <w:r>
              <w:rPr>
                <w:rFonts w:hint="eastAsia"/>
                <w:highlight w:val="none"/>
              </w:rPr>
              <w:t>3</w:t>
            </w:r>
          </w:p>
        </w:tc>
        <w:tc>
          <w:tcPr>
            <w:tcW w:w="1559" w:type="dxa"/>
            <w:vMerge w:val="restart"/>
            <w:vAlign w:val="center"/>
          </w:tcPr>
          <w:p>
            <w:pPr>
              <w:jc w:val="both"/>
              <w:rPr>
                <w:highlight w:val="none"/>
              </w:rPr>
            </w:pPr>
            <w:r>
              <w:rPr>
                <w:rFonts w:hint="eastAsia"/>
                <w:highlight w:val="none"/>
              </w:rPr>
              <w:t>支持网络游戏企业培育发展</w:t>
            </w:r>
          </w:p>
        </w:tc>
        <w:tc>
          <w:tcPr>
            <w:tcW w:w="6630" w:type="dxa"/>
            <w:vAlign w:val="center"/>
          </w:tcPr>
          <w:p>
            <w:pPr>
              <w:rPr>
                <w:highlight w:val="none"/>
              </w:rPr>
            </w:pPr>
            <w:r>
              <w:rPr>
                <w:rFonts w:hint="eastAsia"/>
                <w:highlight w:val="none"/>
              </w:rPr>
              <w:t>对于</w:t>
            </w:r>
            <w:r>
              <w:rPr>
                <w:rFonts w:hint="eastAsia"/>
                <w:highlight w:val="none"/>
                <w:lang w:val="en-US" w:eastAsia="zh-CN"/>
              </w:rPr>
              <w:t>2017-</w:t>
            </w:r>
            <w:r>
              <w:rPr>
                <w:rFonts w:hint="eastAsia"/>
                <w:highlight w:val="none"/>
              </w:rPr>
              <w:t>201</w:t>
            </w:r>
            <w:r>
              <w:rPr>
                <w:rFonts w:hint="eastAsia"/>
                <w:highlight w:val="none"/>
                <w:lang w:val="en-US" w:eastAsia="zh-CN"/>
              </w:rPr>
              <w:t>8</w:t>
            </w:r>
            <w:r>
              <w:rPr>
                <w:rFonts w:hint="eastAsia" w:asciiTheme="minorHAnsi" w:hAnsiTheme="minorHAnsi"/>
                <w:highlight w:val="none"/>
              </w:rPr>
              <w:t>年度</w:t>
            </w:r>
            <w:r>
              <w:rPr>
                <w:rFonts w:hint="eastAsia"/>
                <w:highlight w:val="none"/>
              </w:rPr>
              <w:t>新引进的已取得《网络文化经营许可证》的网络游戏企业，具有对企业发展有促进作用的行业资质如ICP许可证、互联网出版许可证等，可分别给予1万元一次性补贴，每家企业最高不超过5万元。</w:t>
            </w:r>
          </w:p>
        </w:tc>
        <w:tc>
          <w:tcPr>
            <w:tcW w:w="4164" w:type="dxa"/>
            <w:vAlign w:val="center"/>
          </w:tcPr>
          <w:p>
            <w:pPr>
              <w:jc w:val="both"/>
              <w:rPr>
                <w:bCs/>
                <w:kern w:val="0"/>
                <w:highlight w:val="none"/>
              </w:rPr>
            </w:pPr>
            <w:r>
              <w:rPr>
                <w:rFonts w:hint="eastAsia"/>
                <w:bCs/>
                <w:kern w:val="0"/>
                <w:highlight w:val="none"/>
              </w:rPr>
              <w:t>1、企业营业执照；2、网络文化经营许可证；3、</w:t>
            </w:r>
            <w:r>
              <w:rPr>
                <w:rFonts w:hint="eastAsia"/>
                <w:highlight w:val="none"/>
              </w:rPr>
              <w:t>ICP许可证、互联网出版许可证等</w:t>
            </w:r>
            <w:r>
              <w:rPr>
                <w:rFonts w:hint="eastAsia"/>
                <w:bCs/>
                <w:kern w:val="0"/>
                <w:highlight w:val="none"/>
              </w:rPr>
              <w:t>行业资质证明。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exact"/>
          <w:jc w:val="center"/>
        </w:trPr>
        <w:tc>
          <w:tcPr>
            <w:tcW w:w="534" w:type="dxa"/>
            <w:vMerge w:val="continue"/>
            <w:vAlign w:val="center"/>
          </w:tcPr>
          <w:p>
            <w:pPr>
              <w:jc w:val="center"/>
              <w:rPr>
                <w:highlight w:val="none"/>
              </w:rPr>
            </w:pPr>
          </w:p>
        </w:tc>
        <w:tc>
          <w:tcPr>
            <w:tcW w:w="567" w:type="dxa"/>
            <w:vAlign w:val="center"/>
          </w:tcPr>
          <w:p>
            <w:pPr>
              <w:jc w:val="center"/>
              <w:rPr>
                <w:highlight w:val="none"/>
              </w:rPr>
            </w:pPr>
            <w:r>
              <w:rPr>
                <w:rFonts w:hint="eastAsia"/>
                <w:highlight w:val="none"/>
              </w:rPr>
              <w:t>4</w:t>
            </w:r>
          </w:p>
        </w:tc>
        <w:tc>
          <w:tcPr>
            <w:tcW w:w="1559" w:type="dxa"/>
            <w:vMerge w:val="continue"/>
            <w:vAlign w:val="center"/>
          </w:tcPr>
          <w:p>
            <w:pPr>
              <w:jc w:val="both"/>
              <w:rPr>
                <w:bCs/>
                <w:kern w:val="0"/>
                <w:highlight w:val="none"/>
              </w:rPr>
            </w:pPr>
          </w:p>
        </w:tc>
        <w:tc>
          <w:tcPr>
            <w:tcW w:w="6630" w:type="dxa"/>
            <w:vAlign w:val="center"/>
          </w:tcPr>
          <w:p>
            <w:pPr>
              <w:rPr>
                <w:kern w:val="0"/>
                <w:highlight w:val="none"/>
              </w:rPr>
            </w:pPr>
            <w:r>
              <w:rPr>
                <w:rFonts w:hint="eastAsia"/>
                <w:highlight w:val="none"/>
              </w:rPr>
              <w:t>对于</w:t>
            </w:r>
            <w:r>
              <w:rPr>
                <w:rFonts w:hint="eastAsia"/>
                <w:highlight w:val="none"/>
                <w:lang w:val="en-US" w:eastAsia="zh-CN"/>
              </w:rPr>
              <w:t>2017-</w:t>
            </w:r>
            <w:r>
              <w:rPr>
                <w:rFonts w:hint="eastAsia"/>
                <w:highlight w:val="none"/>
              </w:rPr>
              <w:t>201</w:t>
            </w:r>
            <w:r>
              <w:rPr>
                <w:rFonts w:hint="eastAsia"/>
                <w:highlight w:val="none"/>
                <w:lang w:val="en-US" w:eastAsia="zh-CN"/>
              </w:rPr>
              <w:t>8</w:t>
            </w:r>
            <w:r>
              <w:rPr>
                <w:rFonts w:hint="eastAsia" w:asciiTheme="minorHAnsi" w:hAnsiTheme="minorHAnsi"/>
                <w:highlight w:val="none"/>
              </w:rPr>
              <w:t>年度</w:t>
            </w:r>
            <w:r>
              <w:rPr>
                <w:rFonts w:hint="eastAsia"/>
                <w:highlight w:val="none"/>
              </w:rPr>
              <w:t>新引进的已取得《网络文化经营许可证》的网络游戏企业，具有视听许可证的，视其对区域的经济贡献度，可给予最高不超过20万元的一次性补贴。</w:t>
            </w:r>
          </w:p>
        </w:tc>
        <w:tc>
          <w:tcPr>
            <w:tcW w:w="4164" w:type="dxa"/>
            <w:vAlign w:val="center"/>
          </w:tcPr>
          <w:p>
            <w:pPr>
              <w:jc w:val="both"/>
              <w:rPr>
                <w:highlight w:val="none"/>
              </w:rPr>
            </w:pPr>
            <w:r>
              <w:rPr>
                <w:bCs/>
                <w:kern w:val="0"/>
                <w:highlight w:val="none"/>
              </w:rPr>
              <w:t>1、企业营业执照；</w:t>
            </w:r>
            <w:r>
              <w:rPr>
                <w:rFonts w:hint="eastAsia"/>
                <w:bCs/>
                <w:kern w:val="0"/>
                <w:highlight w:val="none"/>
              </w:rPr>
              <w:t xml:space="preserve"> 2、网络文化经营许可证；3、视听许可证；4、经会计师事务所审计后的上两年度财务报表；5、企业上两年度纳税证明。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534" w:type="dxa"/>
            <w:vMerge w:val="continue"/>
            <w:vAlign w:val="center"/>
          </w:tcPr>
          <w:p>
            <w:pPr>
              <w:jc w:val="center"/>
              <w:rPr>
                <w:highlight w:val="none"/>
              </w:rPr>
            </w:pPr>
          </w:p>
        </w:tc>
        <w:tc>
          <w:tcPr>
            <w:tcW w:w="567" w:type="dxa"/>
            <w:vAlign w:val="center"/>
          </w:tcPr>
          <w:p>
            <w:pPr>
              <w:jc w:val="center"/>
              <w:rPr>
                <w:highlight w:val="none"/>
              </w:rPr>
            </w:pPr>
            <w:r>
              <w:rPr>
                <w:rFonts w:hint="eastAsia"/>
                <w:highlight w:val="none"/>
              </w:rPr>
              <w:t>5</w:t>
            </w:r>
          </w:p>
        </w:tc>
        <w:tc>
          <w:tcPr>
            <w:tcW w:w="1559" w:type="dxa"/>
            <w:vMerge w:val="continue"/>
            <w:vAlign w:val="center"/>
          </w:tcPr>
          <w:p>
            <w:pPr>
              <w:jc w:val="both"/>
              <w:rPr>
                <w:highlight w:val="none"/>
              </w:rPr>
            </w:pPr>
          </w:p>
        </w:tc>
        <w:tc>
          <w:tcPr>
            <w:tcW w:w="6630" w:type="dxa"/>
            <w:vAlign w:val="center"/>
          </w:tcPr>
          <w:p>
            <w:pPr>
              <w:rPr>
                <w:highlight w:val="none"/>
              </w:rPr>
            </w:pPr>
            <w:r>
              <w:rPr>
                <w:rFonts w:hint="eastAsia"/>
                <w:highlight w:val="none"/>
              </w:rPr>
              <w:t>对获得游戏版号、经文化部备案且网络游戏产品和服务投入运营的网络游戏企业，视其游戏产品和服务实现的营业收入数额及企业对区域的经济贡献度，可分别给予每款产品1万元一次性补贴，每家企业最高不超过5万元。</w:t>
            </w:r>
          </w:p>
        </w:tc>
        <w:tc>
          <w:tcPr>
            <w:tcW w:w="4164" w:type="dxa"/>
            <w:vAlign w:val="center"/>
          </w:tcPr>
          <w:p>
            <w:pPr>
              <w:jc w:val="both"/>
              <w:rPr>
                <w:bCs/>
                <w:kern w:val="0"/>
                <w:highlight w:val="none"/>
              </w:rPr>
            </w:pPr>
            <w:r>
              <w:rPr>
                <w:bCs/>
                <w:kern w:val="0"/>
                <w:highlight w:val="none"/>
              </w:rPr>
              <w:t>1、企业营业执照；</w:t>
            </w:r>
            <w:r>
              <w:rPr>
                <w:rFonts w:hint="eastAsia"/>
                <w:bCs/>
                <w:kern w:val="0"/>
                <w:highlight w:val="none"/>
              </w:rPr>
              <w:t xml:space="preserve"> 2、网络文化经营许可证；3、游戏版号、文化部备案证明；4、游戏版号所对应游戏产品和服务投入运营情况说明；5、经会计师事务所审计后的上两年度财务报表；6、企业上两年度纳税证明。</w:t>
            </w:r>
          </w:p>
        </w:tc>
      </w:tr>
    </w:tbl>
    <w:p>
      <w:pPr>
        <w:widowControl/>
      </w:pPr>
      <w:r>
        <w:br w:type="page"/>
      </w:r>
    </w:p>
    <w:tbl>
      <w:tblPr>
        <w:tblStyle w:val="5"/>
        <w:tblW w:w="134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1559"/>
        <w:gridCol w:w="6630"/>
        <w:gridCol w:w="4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blHeader/>
          <w:jc w:val="center"/>
        </w:trPr>
        <w:tc>
          <w:tcPr>
            <w:tcW w:w="534" w:type="dxa"/>
            <w:vAlign w:val="center"/>
          </w:tcPr>
          <w:p>
            <w:pPr>
              <w:jc w:val="center"/>
              <w:rPr>
                <w:rStyle w:val="7"/>
                <w:highlight w:val="none"/>
              </w:rPr>
            </w:pPr>
            <w:r>
              <w:rPr>
                <w:rStyle w:val="7"/>
                <w:highlight w:val="none"/>
              </w:rPr>
              <w:t>类别</w:t>
            </w:r>
          </w:p>
        </w:tc>
        <w:tc>
          <w:tcPr>
            <w:tcW w:w="567" w:type="dxa"/>
            <w:vAlign w:val="center"/>
          </w:tcPr>
          <w:p>
            <w:pPr>
              <w:jc w:val="center"/>
              <w:rPr>
                <w:rStyle w:val="7"/>
                <w:highlight w:val="none"/>
              </w:rPr>
            </w:pPr>
            <w:r>
              <w:rPr>
                <w:rStyle w:val="7"/>
                <w:rFonts w:hint="eastAsia"/>
                <w:highlight w:val="none"/>
              </w:rPr>
              <w:t>序号</w:t>
            </w:r>
          </w:p>
        </w:tc>
        <w:tc>
          <w:tcPr>
            <w:tcW w:w="1559" w:type="dxa"/>
            <w:vAlign w:val="center"/>
          </w:tcPr>
          <w:p>
            <w:pPr>
              <w:jc w:val="center"/>
              <w:rPr>
                <w:rStyle w:val="7"/>
                <w:highlight w:val="none"/>
              </w:rPr>
            </w:pPr>
            <w:r>
              <w:rPr>
                <w:rStyle w:val="7"/>
                <w:highlight w:val="none"/>
              </w:rPr>
              <w:t>资助事项</w:t>
            </w:r>
          </w:p>
        </w:tc>
        <w:tc>
          <w:tcPr>
            <w:tcW w:w="6630" w:type="dxa"/>
            <w:vAlign w:val="center"/>
          </w:tcPr>
          <w:p>
            <w:pPr>
              <w:jc w:val="center"/>
              <w:rPr>
                <w:rStyle w:val="7"/>
                <w:highlight w:val="none"/>
              </w:rPr>
            </w:pPr>
            <w:r>
              <w:rPr>
                <w:rStyle w:val="7"/>
                <w:rFonts w:hint="eastAsia"/>
                <w:highlight w:val="none"/>
              </w:rPr>
              <w:t>申报条件与扶持</w:t>
            </w:r>
            <w:r>
              <w:rPr>
                <w:rStyle w:val="7"/>
                <w:highlight w:val="none"/>
              </w:rPr>
              <w:t>方式</w:t>
            </w:r>
          </w:p>
        </w:tc>
        <w:tc>
          <w:tcPr>
            <w:tcW w:w="4164" w:type="dxa"/>
            <w:vAlign w:val="center"/>
          </w:tcPr>
          <w:p>
            <w:pPr>
              <w:jc w:val="center"/>
              <w:rPr>
                <w:rStyle w:val="7"/>
                <w:highlight w:val="none"/>
              </w:rPr>
            </w:pPr>
            <w:r>
              <w:rPr>
                <w:rStyle w:val="7"/>
                <w:highlight w:val="none"/>
              </w:rPr>
              <w:t>申报</w:t>
            </w:r>
            <w:r>
              <w:rPr>
                <w:rStyle w:val="7"/>
                <w:rFonts w:hint="eastAsia"/>
                <w:highlight w:val="none"/>
              </w:rPr>
              <w:t>材料(除项目申请书规定外)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6" w:hRule="atLeast"/>
          <w:jc w:val="center"/>
        </w:trPr>
        <w:tc>
          <w:tcPr>
            <w:tcW w:w="534" w:type="dxa"/>
            <w:vMerge w:val="restart"/>
            <w:vAlign w:val="center"/>
          </w:tcPr>
          <w:p>
            <w:pPr>
              <w:spacing w:line="320" w:lineRule="exact"/>
              <w:jc w:val="center"/>
              <w:rPr>
                <w:kern w:val="0"/>
                <w:szCs w:val="21"/>
                <w:highlight w:val="none"/>
              </w:rPr>
            </w:pPr>
            <w:r>
              <w:rPr>
                <w:rFonts w:hint="eastAsia"/>
                <w:kern w:val="0"/>
                <w:szCs w:val="21"/>
                <w:highlight w:val="none"/>
              </w:rPr>
              <w:t>B支持网络游戏产业集聚和环境营造</w:t>
            </w:r>
          </w:p>
        </w:tc>
        <w:tc>
          <w:tcPr>
            <w:tcW w:w="567" w:type="dxa"/>
            <w:vAlign w:val="center"/>
          </w:tcPr>
          <w:p>
            <w:pPr>
              <w:widowControl/>
              <w:spacing w:line="280" w:lineRule="exact"/>
              <w:jc w:val="center"/>
              <w:rPr>
                <w:kern w:val="0"/>
                <w:szCs w:val="21"/>
                <w:highlight w:val="none"/>
              </w:rPr>
            </w:pPr>
            <w:r>
              <w:rPr>
                <w:rFonts w:hint="eastAsia"/>
                <w:kern w:val="0"/>
                <w:szCs w:val="21"/>
                <w:highlight w:val="none"/>
              </w:rPr>
              <w:t>6</w:t>
            </w:r>
          </w:p>
        </w:tc>
        <w:tc>
          <w:tcPr>
            <w:tcW w:w="1559" w:type="dxa"/>
            <w:vAlign w:val="center"/>
          </w:tcPr>
          <w:p>
            <w:pPr>
              <w:widowControl/>
              <w:spacing w:line="280" w:lineRule="exact"/>
              <w:jc w:val="both"/>
              <w:rPr>
                <w:kern w:val="0"/>
                <w:szCs w:val="21"/>
                <w:highlight w:val="none"/>
              </w:rPr>
            </w:pPr>
            <w:r>
              <w:rPr>
                <w:rFonts w:hint="eastAsia"/>
                <w:kern w:val="0"/>
                <w:szCs w:val="21"/>
                <w:highlight w:val="none"/>
              </w:rPr>
              <w:t>支持举办具有影响力的网络游戏产业技术创新活动</w:t>
            </w:r>
          </w:p>
        </w:tc>
        <w:tc>
          <w:tcPr>
            <w:tcW w:w="6630" w:type="dxa"/>
            <w:vAlign w:val="center"/>
          </w:tcPr>
          <w:p>
            <w:pPr>
              <w:rPr>
                <w:kern w:val="0"/>
                <w:szCs w:val="21"/>
                <w:highlight w:val="none"/>
              </w:rPr>
            </w:pPr>
            <w:r>
              <w:rPr>
                <w:rFonts w:hint="eastAsia"/>
                <w:highlight w:val="none"/>
              </w:rPr>
              <w:t>对举办（或承办）、引进在国家或市级层面具有重大影响力的网络游戏产业峰会、论坛、展览会、博览会等活动的企业和机构，通过活动能有力提升区域网络游戏产业集聚效应、推进网络游戏企业在区内落地的，根据其实际产生费用的50%，分别可给予最高不超过20万元的补贴。</w:t>
            </w:r>
          </w:p>
        </w:tc>
        <w:tc>
          <w:tcPr>
            <w:tcW w:w="4164" w:type="dxa"/>
            <w:vAlign w:val="center"/>
          </w:tcPr>
          <w:p>
            <w:pPr>
              <w:widowControl/>
              <w:shd w:val="clear" w:color="auto" w:fill="FCFCFC"/>
              <w:spacing w:line="280" w:lineRule="exact"/>
              <w:jc w:val="both"/>
              <w:rPr>
                <w:kern w:val="0"/>
                <w:szCs w:val="21"/>
                <w:highlight w:val="none"/>
              </w:rPr>
            </w:pPr>
            <w:r>
              <w:rPr>
                <w:rFonts w:hint="eastAsia"/>
                <w:kern w:val="0"/>
                <w:szCs w:val="21"/>
                <w:highlight w:val="none"/>
              </w:rPr>
              <w:t>1、相关单位主办或支持举办的文件；2、活动</w:t>
            </w:r>
            <w:r>
              <w:rPr>
                <w:kern w:val="0"/>
                <w:szCs w:val="21"/>
                <w:highlight w:val="none"/>
              </w:rPr>
              <w:t>方案</w:t>
            </w:r>
            <w:r>
              <w:rPr>
                <w:rFonts w:hint="eastAsia"/>
                <w:kern w:val="0"/>
                <w:szCs w:val="21"/>
                <w:highlight w:val="none"/>
              </w:rPr>
              <w:t>及总结报告；3、活动费用证明材料（包括场地租赁合同、发票复印件等）；4、活动举办现场照片及媒体报道材料；5、经会计师事务所审计后的上两年度财务报表</w:t>
            </w:r>
            <w:r>
              <w:rPr>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534" w:type="dxa"/>
            <w:vMerge w:val="continue"/>
            <w:vAlign w:val="center"/>
          </w:tcPr>
          <w:p>
            <w:pPr>
              <w:spacing w:line="320" w:lineRule="exact"/>
              <w:jc w:val="both"/>
              <w:rPr>
                <w:kern w:val="0"/>
                <w:szCs w:val="21"/>
                <w:highlight w:val="none"/>
              </w:rPr>
            </w:pPr>
          </w:p>
        </w:tc>
        <w:tc>
          <w:tcPr>
            <w:tcW w:w="567" w:type="dxa"/>
            <w:vAlign w:val="center"/>
          </w:tcPr>
          <w:p>
            <w:pPr>
              <w:widowControl/>
              <w:spacing w:line="280" w:lineRule="exact"/>
              <w:jc w:val="center"/>
              <w:rPr>
                <w:kern w:val="0"/>
                <w:szCs w:val="21"/>
                <w:highlight w:val="none"/>
              </w:rPr>
            </w:pPr>
            <w:r>
              <w:rPr>
                <w:rFonts w:hint="eastAsia"/>
                <w:kern w:val="0"/>
                <w:szCs w:val="21"/>
                <w:highlight w:val="none"/>
              </w:rPr>
              <w:t>7</w:t>
            </w:r>
          </w:p>
        </w:tc>
        <w:tc>
          <w:tcPr>
            <w:tcW w:w="1559" w:type="dxa"/>
            <w:vAlign w:val="center"/>
          </w:tcPr>
          <w:p>
            <w:pPr>
              <w:widowControl/>
              <w:spacing w:line="280" w:lineRule="exact"/>
              <w:jc w:val="both"/>
              <w:rPr>
                <w:kern w:val="0"/>
                <w:szCs w:val="21"/>
                <w:highlight w:val="none"/>
              </w:rPr>
            </w:pPr>
            <w:r>
              <w:rPr>
                <w:rFonts w:hint="eastAsia"/>
                <w:kern w:val="0"/>
                <w:szCs w:val="21"/>
                <w:highlight w:val="none"/>
              </w:rPr>
              <w:t>支持网络游戏相关展览展示体验中心建设</w:t>
            </w:r>
          </w:p>
        </w:tc>
        <w:tc>
          <w:tcPr>
            <w:tcW w:w="6630" w:type="dxa"/>
            <w:vAlign w:val="center"/>
          </w:tcPr>
          <w:p>
            <w:pPr>
              <w:rPr>
                <w:kern w:val="0"/>
                <w:szCs w:val="21"/>
                <w:highlight w:val="none"/>
              </w:rPr>
            </w:pPr>
            <w:r>
              <w:rPr>
                <w:rFonts w:hint="eastAsia"/>
                <w:highlight w:val="none"/>
              </w:rPr>
              <w:t>对租用区内场地建设网络游戏相关展览展示体验中心、增强区域网络游戏产业影响力、辐射力的企业和机构，根据其展厅面积和观展人次，按租用场地的房租等实际投入的50%以内比例，给予最高不超过200万元的一次性补贴。</w:t>
            </w:r>
          </w:p>
        </w:tc>
        <w:tc>
          <w:tcPr>
            <w:tcW w:w="4164" w:type="dxa"/>
            <w:vAlign w:val="center"/>
          </w:tcPr>
          <w:p>
            <w:pPr>
              <w:widowControl/>
              <w:shd w:val="clear" w:color="auto" w:fill="FCFCFC"/>
              <w:spacing w:line="280" w:lineRule="exact"/>
              <w:jc w:val="both"/>
              <w:rPr>
                <w:kern w:val="0"/>
                <w:szCs w:val="21"/>
                <w:highlight w:val="none"/>
              </w:rPr>
            </w:pPr>
            <w:r>
              <w:rPr>
                <w:kern w:val="0"/>
                <w:szCs w:val="21"/>
                <w:highlight w:val="none"/>
              </w:rPr>
              <w:t>1</w:t>
            </w:r>
            <w:r>
              <w:rPr>
                <w:rFonts w:hint="eastAsia"/>
                <w:kern w:val="0"/>
                <w:szCs w:val="21"/>
                <w:highlight w:val="none"/>
              </w:rPr>
              <w:t>、展览展示体验中心建设单位的独立法人资格证明；2、展览展示空间面积租赁证明或产权证明；3、入驻展览展示网络游戏企业清单；4、经会计师事务所审计后的上两年度财务报表</w:t>
            </w:r>
            <w:r>
              <w:rPr>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534" w:type="dxa"/>
            <w:vMerge w:val="continue"/>
            <w:vAlign w:val="center"/>
          </w:tcPr>
          <w:p>
            <w:pPr>
              <w:spacing w:line="320" w:lineRule="exact"/>
              <w:jc w:val="both"/>
              <w:rPr>
                <w:kern w:val="0"/>
                <w:szCs w:val="21"/>
                <w:highlight w:val="none"/>
              </w:rPr>
            </w:pPr>
          </w:p>
        </w:tc>
        <w:tc>
          <w:tcPr>
            <w:tcW w:w="567" w:type="dxa"/>
            <w:vAlign w:val="center"/>
          </w:tcPr>
          <w:p>
            <w:pPr>
              <w:widowControl/>
              <w:spacing w:line="280" w:lineRule="exact"/>
              <w:jc w:val="center"/>
              <w:rPr>
                <w:kern w:val="0"/>
                <w:szCs w:val="21"/>
                <w:highlight w:val="none"/>
              </w:rPr>
            </w:pPr>
            <w:r>
              <w:rPr>
                <w:rFonts w:hint="eastAsia"/>
                <w:kern w:val="0"/>
                <w:szCs w:val="21"/>
                <w:highlight w:val="none"/>
              </w:rPr>
              <w:t>8</w:t>
            </w:r>
          </w:p>
        </w:tc>
        <w:tc>
          <w:tcPr>
            <w:tcW w:w="1559" w:type="dxa"/>
            <w:vAlign w:val="center"/>
          </w:tcPr>
          <w:p>
            <w:pPr>
              <w:widowControl/>
              <w:spacing w:line="280" w:lineRule="exact"/>
              <w:jc w:val="both"/>
              <w:rPr>
                <w:kern w:val="0"/>
                <w:szCs w:val="21"/>
                <w:highlight w:val="none"/>
              </w:rPr>
            </w:pPr>
            <w:r>
              <w:rPr>
                <w:rFonts w:hint="eastAsia"/>
                <w:kern w:val="0"/>
                <w:szCs w:val="21"/>
                <w:highlight w:val="none"/>
              </w:rPr>
              <w:t>支持引进设立和培育网络游戏产业的行业组织</w:t>
            </w:r>
          </w:p>
        </w:tc>
        <w:tc>
          <w:tcPr>
            <w:tcW w:w="6630" w:type="dxa"/>
            <w:vAlign w:val="center"/>
          </w:tcPr>
          <w:p>
            <w:pPr>
              <w:rPr>
                <w:kern w:val="0"/>
                <w:szCs w:val="21"/>
                <w:highlight w:val="none"/>
              </w:rPr>
            </w:pPr>
            <w:r>
              <w:rPr>
                <w:rFonts w:hint="eastAsia"/>
                <w:highlight w:val="none"/>
              </w:rPr>
              <w:t>对引进、设立和培育涵盖网络游戏产业在内的移动互联网行业组织，支持打造行业公共服务平台、汇聚产业链上下游资源，获得国家或市资金支持的，可给予最高不超过50万元的一次性补贴。</w:t>
            </w:r>
          </w:p>
        </w:tc>
        <w:tc>
          <w:tcPr>
            <w:tcW w:w="4164" w:type="dxa"/>
            <w:vAlign w:val="center"/>
          </w:tcPr>
          <w:p>
            <w:pPr>
              <w:widowControl/>
              <w:spacing w:line="280" w:lineRule="exact"/>
              <w:jc w:val="both"/>
              <w:rPr>
                <w:kern w:val="0"/>
                <w:szCs w:val="21"/>
                <w:highlight w:val="none"/>
              </w:rPr>
            </w:pPr>
            <w:r>
              <w:rPr>
                <w:rFonts w:hint="eastAsia"/>
                <w:kern w:val="0"/>
                <w:szCs w:val="21"/>
                <w:highlight w:val="none"/>
              </w:rPr>
              <w:t>1、</w:t>
            </w:r>
            <w:r>
              <w:rPr>
                <w:kern w:val="0"/>
                <w:szCs w:val="21"/>
                <w:highlight w:val="none"/>
              </w:rPr>
              <w:t>获批</w:t>
            </w:r>
            <w:r>
              <w:rPr>
                <w:rFonts w:hint="eastAsia"/>
                <w:kern w:val="0"/>
                <w:szCs w:val="21"/>
                <w:highlight w:val="none"/>
              </w:rPr>
              <w:t>成立</w:t>
            </w:r>
            <w:r>
              <w:rPr>
                <w:kern w:val="0"/>
                <w:szCs w:val="21"/>
                <w:highlight w:val="none"/>
              </w:rPr>
              <w:t>协会、联盟、技术研究院等组织的认证文件；</w:t>
            </w:r>
            <w:r>
              <w:rPr>
                <w:rFonts w:hint="eastAsia"/>
                <w:kern w:val="0"/>
                <w:szCs w:val="21"/>
                <w:highlight w:val="none"/>
              </w:rPr>
              <w:t>2、</w:t>
            </w:r>
            <w:r>
              <w:rPr>
                <w:kern w:val="0"/>
                <w:szCs w:val="21"/>
                <w:highlight w:val="none"/>
              </w:rPr>
              <w:t>行业组织</w:t>
            </w:r>
            <w:r>
              <w:rPr>
                <w:rFonts w:hint="eastAsia"/>
                <w:kern w:val="0"/>
                <w:szCs w:val="21"/>
                <w:highlight w:val="none"/>
              </w:rPr>
              <w:t>管理</w:t>
            </w:r>
            <w:r>
              <w:rPr>
                <w:kern w:val="0"/>
                <w:szCs w:val="21"/>
                <w:highlight w:val="none"/>
              </w:rPr>
              <w:t>运营制度文件</w:t>
            </w:r>
            <w:r>
              <w:rPr>
                <w:rFonts w:hint="eastAsia"/>
                <w:kern w:val="0"/>
                <w:szCs w:val="21"/>
                <w:highlight w:val="none"/>
              </w:rPr>
              <w:t>；3、场地租赁证明及运营情况说明；4、建设各类平台的方案、成效等佐证材料；5、获得国家或市资金支持的相关佐证材料</w:t>
            </w:r>
            <w:r>
              <w:rPr>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534" w:type="dxa"/>
            <w:vMerge w:val="continue"/>
            <w:vAlign w:val="center"/>
          </w:tcPr>
          <w:p>
            <w:pPr>
              <w:spacing w:line="320" w:lineRule="exact"/>
              <w:jc w:val="both"/>
              <w:rPr>
                <w:szCs w:val="21"/>
                <w:highlight w:val="none"/>
              </w:rPr>
            </w:pPr>
          </w:p>
        </w:tc>
        <w:tc>
          <w:tcPr>
            <w:tcW w:w="567" w:type="dxa"/>
            <w:vAlign w:val="center"/>
          </w:tcPr>
          <w:p>
            <w:pPr>
              <w:spacing w:line="320" w:lineRule="exact"/>
              <w:jc w:val="center"/>
              <w:rPr>
                <w:szCs w:val="21"/>
                <w:highlight w:val="none"/>
              </w:rPr>
            </w:pPr>
            <w:r>
              <w:rPr>
                <w:rFonts w:hint="eastAsia"/>
                <w:szCs w:val="21"/>
                <w:highlight w:val="none"/>
              </w:rPr>
              <w:t>9</w:t>
            </w:r>
          </w:p>
        </w:tc>
        <w:tc>
          <w:tcPr>
            <w:tcW w:w="1559" w:type="dxa"/>
            <w:vAlign w:val="center"/>
          </w:tcPr>
          <w:p>
            <w:pPr>
              <w:spacing w:line="320" w:lineRule="exact"/>
              <w:jc w:val="both"/>
              <w:rPr>
                <w:szCs w:val="21"/>
                <w:highlight w:val="none"/>
              </w:rPr>
            </w:pPr>
            <w:r>
              <w:rPr>
                <w:rFonts w:hint="eastAsia"/>
                <w:szCs w:val="21"/>
                <w:highlight w:val="none"/>
              </w:rPr>
              <w:t>支持园区网络游戏产业集聚发展</w:t>
            </w:r>
          </w:p>
        </w:tc>
        <w:tc>
          <w:tcPr>
            <w:tcW w:w="6630" w:type="dxa"/>
            <w:vAlign w:val="center"/>
          </w:tcPr>
          <w:p>
            <w:pPr>
              <w:rPr>
                <w:szCs w:val="21"/>
                <w:highlight w:val="none"/>
              </w:rPr>
            </w:pPr>
            <w:r>
              <w:rPr>
                <w:rFonts w:hint="eastAsia"/>
                <w:highlight w:val="none"/>
              </w:rPr>
              <w:t>对建筑面积超过5000平方米且网络游戏产业集聚度不低于50%的园区，视园区对区域的经济贡献度，给予最高不超过200万元的一次性补贴。</w:t>
            </w:r>
          </w:p>
        </w:tc>
        <w:tc>
          <w:tcPr>
            <w:tcW w:w="4164" w:type="dxa"/>
            <w:vAlign w:val="center"/>
          </w:tcPr>
          <w:p>
            <w:pPr>
              <w:spacing w:line="320" w:lineRule="exact"/>
              <w:jc w:val="both"/>
              <w:rPr>
                <w:bCs/>
                <w:kern w:val="0"/>
                <w:szCs w:val="21"/>
                <w:highlight w:val="none"/>
              </w:rPr>
            </w:pPr>
            <w:r>
              <w:rPr>
                <w:rFonts w:hint="eastAsia"/>
                <w:bCs/>
                <w:kern w:val="0"/>
                <w:szCs w:val="21"/>
                <w:highlight w:val="none"/>
              </w:rPr>
              <w:t>1、园区管理机构营业执照；2、房地产证等可证明建筑面积的材料；3、园区入驻企业清单及网络游戏产业相关联</w:t>
            </w:r>
            <w:r>
              <w:rPr>
                <w:bCs/>
                <w:kern w:val="0"/>
                <w:szCs w:val="21"/>
                <w:highlight w:val="none"/>
              </w:rPr>
              <w:t>企业清</w:t>
            </w:r>
            <w:r>
              <w:rPr>
                <w:rFonts w:hint="eastAsia"/>
                <w:bCs/>
                <w:kern w:val="0"/>
                <w:szCs w:val="21"/>
                <w:highlight w:val="none"/>
              </w:rPr>
              <w:t>单</w:t>
            </w:r>
            <w:r>
              <w:rPr>
                <w:bCs/>
                <w:kern w:val="0"/>
                <w:szCs w:val="21"/>
                <w:highlight w:val="none"/>
              </w:rPr>
              <w:t>；</w:t>
            </w:r>
            <w:r>
              <w:rPr>
                <w:rFonts w:hint="eastAsia"/>
                <w:bCs/>
                <w:kern w:val="0"/>
                <w:szCs w:val="21"/>
                <w:highlight w:val="none"/>
              </w:rPr>
              <w:t>4、园区入驻企业区级税收情况清单；5、产业集聚度情况说明。</w:t>
            </w:r>
          </w:p>
        </w:tc>
      </w:tr>
    </w:tbl>
    <w:p>
      <w:r>
        <w:rPr>
          <w:rFonts w:hint="eastAsia"/>
        </w:rPr>
        <w:t>备注</w:t>
      </w:r>
      <w:r>
        <w:t>：专项审计报告</w:t>
      </w:r>
      <w:r>
        <w:rPr>
          <w:rFonts w:hint="eastAsia"/>
        </w:rPr>
        <w:t>统一应有A类或B类资信的</w:t>
      </w:r>
      <w:r>
        <w:t>会计师事务所出具。</w:t>
      </w:r>
    </w:p>
    <w:p/>
    <w:sectPr>
      <w:headerReference r:id="rId3" w:type="default"/>
      <w:footerReference r:id="rId4" w:type="default"/>
      <w:pgSz w:w="16838" w:h="11906" w:orient="landscape"/>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633744"/>
      <w:docPartObj>
        <w:docPartGallery w:val="autotext"/>
      </w:docPartObj>
    </w:sdtPr>
    <w:sdtContent>
      <w:p>
        <w:pPr>
          <w:pStyle w:val="2"/>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附件1</w:t>
    </w:r>
    <w:r>
      <w:rPr>
        <w:rFonts w:hint="eastAsia"/>
        <w:lang w:eastAsia="zh-CN"/>
      </w:rPr>
      <w:t>：</w:t>
    </w:r>
    <w:r>
      <w:rPr>
        <w:rFonts w:hint="eastAsia"/>
        <w:lang w:val="en-US" w:eastAsia="zh-CN"/>
      </w:rPr>
      <w:t>2018-</w:t>
    </w:r>
    <w:r>
      <w:rPr>
        <w:rFonts w:hint="eastAsia"/>
      </w:rPr>
      <w:t>201</w:t>
    </w:r>
    <w:r>
      <w:rPr>
        <w:rFonts w:hint="eastAsia"/>
        <w:lang w:val="en-US" w:eastAsia="zh-CN"/>
      </w:rPr>
      <w:t>9</w:t>
    </w:r>
    <w:r>
      <w:rPr>
        <w:rFonts w:hint="eastAsia"/>
      </w:rPr>
      <w:t>年</w:t>
    </w:r>
    <w:r>
      <w:rPr>
        <w:rFonts w:hint="eastAsia"/>
        <w:lang w:eastAsia="zh-CN"/>
      </w:rPr>
      <w:t>度</w:t>
    </w:r>
    <w:r>
      <w:rPr>
        <w:rFonts w:hint="eastAsia"/>
      </w:rPr>
      <w:t>普陀区网络游戏产业发展专项申报指南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EE"/>
    <w:rsid w:val="00017032"/>
    <w:rsid w:val="000903CC"/>
    <w:rsid w:val="00090CD4"/>
    <w:rsid w:val="00096D1B"/>
    <w:rsid w:val="00160476"/>
    <w:rsid w:val="001E19C8"/>
    <w:rsid w:val="001E4BF4"/>
    <w:rsid w:val="00264A20"/>
    <w:rsid w:val="002659BB"/>
    <w:rsid w:val="0029534C"/>
    <w:rsid w:val="002B7417"/>
    <w:rsid w:val="00313116"/>
    <w:rsid w:val="00325B9F"/>
    <w:rsid w:val="0034336F"/>
    <w:rsid w:val="003858B3"/>
    <w:rsid w:val="003E48F8"/>
    <w:rsid w:val="004575F1"/>
    <w:rsid w:val="00462E22"/>
    <w:rsid w:val="00475AF6"/>
    <w:rsid w:val="004770E4"/>
    <w:rsid w:val="004D0D31"/>
    <w:rsid w:val="004D0FA4"/>
    <w:rsid w:val="004E2BE5"/>
    <w:rsid w:val="00513D13"/>
    <w:rsid w:val="005146C9"/>
    <w:rsid w:val="00553B8F"/>
    <w:rsid w:val="00565DC2"/>
    <w:rsid w:val="0059448A"/>
    <w:rsid w:val="005A7244"/>
    <w:rsid w:val="005F29D0"/>
    <w:rsid w:val="0060619C"/>
    <w:rsid w:val="00636CBC"/>
    <w:rsid w:val="00644FB0"/>
    <w:rsid w:val="00654E07"/>
    <w:rsid w:val="00684614"/>
    <w:rsid w:val="006C0A1D"/>
    <w:rsid w:val="006E75C7"/>
    <w:rsid w:val="00713FE2"/>
    <w:rsid w:val="007C4DE2"/>
    <w:rsid w:val="00832219"/>
    <w:rsid w:val="00894B74"/>
    <w:rsid w:val="00896AED"/>
    <w:rsid w:val="008B0AC4"/>
    <w:rsid w:val="008E776F"/>
    <w:rsid w:val="00917ABB"/>
    <w:rsid w:val="00941FFE"/>
    <w:rsid w:val="00953E6A"/>
    <w:rsid w:val="0097175D"/>
    <w:rsid w:val="009B5936"/>
    <w:rsid w:val="00A32F4A"/>
    <w:rsid w:val="00A516F7"/>
    <w:rsid w:val="00A80E0D"/>
    <w:rsid w:val="00B862A6"/>
    <w:rsid w:val="00BA55EB"/>
    <w:rsid w:val="00BC344A"/>
    <w:rsid w:val="00BD5037"/>
    <w:rsid w:val="00BE2D4C"/>
    <w:rsid w:val="00C06B80"/>
    <w:rsid w:val="00CB03CD"/>
    <w:rsid w:val="00CD7610"/>
    <w:rsid w:val="00D1390A"/>
    <w:rsid w:val="00D14230"/>
    <w:rsid w:val="00D35B37"/>
    <w:rsid w:val="00D36C7A"/>
    <w:rsid w:val="00D569F4"/>
    <w:rsid w:val="00D60F62"/>
    <w:rsid w:val="00DA523F"/>
    <w:rsid w:val="00DC3668"/>
    <w:rsid w:val="00E611EE"/>
    <w:rsid w:val="00E6312A"/>
    <w:rsid w:val="00E730D9"/>
    <w:rsid w:val="00EA30F1"/>
    <w:rsid w:val="00EB3178"/>
    <w:rsid w:val="00EF38A7"/>
    <w:rsid w:val="00EF4134"/>
    <w:rsid w:val="00EF74CB"/>
    <w:rsid w:val="00F010B5"/>
    <w:rsid w:val="00F57D39"/>
    <w:rsid w:val="00F6407C"/>
    <w:rsid w:val="00F640C9"/>
    <w:rsid w:val="00FB20D3"/>
    <w:rsid w:val="00FB2EF8"/>
    <w:rsid w:val="00FD63E5"/>
    <w:rsid w:val="05D6066A"/>
    <w:rsid w:val="2B037522"/>
    <w:rsid w:val="2F413DB0"/>
    <w:rsid w:val="3268630D"/>
    <w:rsid w:val="3EF8607C"/>
    <w:rsid w:val="413667A8"/>
    <w:rsid w:val="7EC83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仿宋_GB2312" w:hAnsi="Times New Roman" w:eastAsia="仿宋_GB2312"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rFonts w:asciiTheme="minorHAnsi" w:hAnsiTheme="minorHAnsi" w:eastAsiaTheme="minorEastAsia" w:cstheme="minorBidi"/>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pPr>
    <w:rPr>
      <w:rFonts w:asciiTheme="minorHAnsi" w:hAnsiTheme="minorHAnsi" w:eastAsiaTheme="minorEastAsia" w:cstheme="minorBidi"/>
      <w:sz w:val="18"/>
      <w:szCs w:val="18"/>
    </w:rPr>
  </w:style>
  <w:style w:type="paragraph" w:styleId="4">
    <w:name w:val="Title"/>
    <w:basedOn w:val="1"/>
    <w:next w:val="1"/>
    <w:link w:val="10"/>
    <w:qFormat/>
    <w:uiPriority w:val="10"/>
    <w:pPr>
      <w:jc w:val="center"/>
      <w:outlineLvl w:val="0"/>
    </w:pPr>
    <w:rPr>
      <w:rFonts w:hAnsiTheme="minorHAnsi" w:cstheme="majorBidi"/>
      <w:b/>
      <w:bCs/>
      <w:sz w:val="32"/>
      <w:szCs w:val="32"/>
    </w:rPr>
  </w:style>
  <w:style w:type="character" w:styleId="7">
    <w:name w:val="Emphasis"/>
    <w:basedOn w:val="6"/>
    <w:qFormat/>
    <w:uiPriority w:val="20"/>
    <w:rPr>
      <w:b/>
      <w:iCs/>
    </w:rPr>
  </w:style>
  <w:style w:type="character" w:customStyle="1" w:styleId="8">
    <w:name w:val="页眉 Char"/>
    <w:basedOn w:val="6"/>
    <w:link w:val="3"/>
    <w:semiHidden/>
    <w:uiPriority w:val="99"/>
    <w:rPr>
      <w:sz w:val="18"/>
      <w:szCs w:val="18"/>
    </w:rPr>
  </w:style>
  <w:style w:type="character" w:customStyle="1" w:styleId="9">
    <w:name w:val="页脚 Char"/>
    <w:basedOn w:val="6"/>
    <w:link w:val="2"/>
    <w:qFormat/>
    <w:uiPriority w:val="99"/>
    <w:rPr>
      <w:sz w:val="18"/>
      <w:szCs w:val="18"/>
    </w:rPr>
  </w:style>
  <w:style w:type="character" w:customStyle="1" w:styleId="10">
    <w:name w:val="标题 Char"/>
    <w:basedOn w:val="6"/>
    <w:link w:val="4"/>
    <w:qFormat/>
    <w:uiPriority w:val="10"/>
    <w:rPr>
      <w:rFonts w:ascii="仿宋_GB2312" w:eastAsia="仿宋_GB2312"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295</Words>
  <Characters>1686</Characters>
  <Lines>14</Lines>
  <Paragraphs>3</Paragraphs>
  <TotalTime>26</TotalTime>
  <ScaleCrop>false</ScaleCrop>
  <LinksUpToDate>false</LinksUpToDate>
  <CharactersWithSpaces>1978</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2017-08-02T06:20:00Z</dcterms:created>
  <dc:creator>houjm</dc:creator>
  <cp:lastModifiedBy>jessie_fan</cp:lastModifiedBy>
  <cp:lastPrinted>2019-06-04T02:25:52Z</cp:lastPrinted>
  <dcterms:modified xsi:type="dcterms:W3CDTF">2019-06-04T02:57:54Z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