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10"/>
          <w:szCs w:val="10"/>
        </w:rPr>
      </w:pPr>
      <w:r>
        <w:rPr>
          <w:rFonts w:ascii="黑体" w:eastAsia="黑体"/>
          <w:sz w:val="36"/>
          <w:szCs w:val="36"/>
        </w:rPr>
        <w:pict>
          <v:shape id="_x0000_s1127" o:spid="_x0000_s1127" o:spt="202" type="#_x0000_t202" style="position:absolute;left:0pt;margin-left:0pt;margin-top:-25.6pt;height:33.4pt;width:126pt;z-index:251658240;mso-width-relative:page;mso-height-relative:page;" stroked="f" coordsize="21600,21600">
            <v:path/>
            <v:fill focussize="0,0"/>
            <v:stroke on="f" joinstyle="miter"/>
            <v:imagedata o:title=""/>
            <o:lock v:ext="edit"/>
            <v:textbox>
              <w:txbxContent>
                <w:p>
                  <w:pPr>
                    <w:rPr>
                      <w:rFonts w:ascii="黑体" w:hAnsi="黑体" w:eastAsia="黑体"/>
                      <w:sz w:val="32"/>
                      <w:szCs w:val="32"/>
                    </w:rPr>
                  </w:pPr>
                  <w:r>
                    <w:rPr>
                      <w:rFonts w:hint="eastAsia" w:ascii="黑体" w:hAnsi="黑体" w:eastAsia="黑体"/>
                      <w:sz w:val="32"/>
                      <w:szCs w:val="32"/>
                    </w:rPr>
                    <w:t>附件</w:t>
                  </w:r>
                </w:p>
              </w:txbxContent>
            </v:textbox>
          </v:shape>
        </w:pict>
      </w:r>
      <w:r>
        <w:rPr>
          <w:rFonts w:hint="eastAsia" w:ascii="黑体" w:eastAsia="黑体"/>
          <w:sz w:val="36"/>
          <w:szCs w:val="36"/>
        </w:rPr>
        <w:t>长征镇2018年经济与社会发展项目</w:t>
      </w:r>
    </w:p>
    <w:tbl>
      <w:tblPr>
        <w:tblStyle w:val="8"/>
        <w:tblW w:w="14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295"/>
        <w:gridCol w:w="5102"/>
        <w:gridCol w:w="2837"/>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widowControl/>
              <w:spacing w:line="380" w:lineRule="exact"/>
              <w:jc w:val="center"/>
              <w:rPr>
                <w:rFonts w:ascii="宋体" w:hAnsi="宋体" w:cs="宋体"/>
                <w:b/>
                <w:bCs/>
                <w:spacing w:val="-12"/>
                <w:kern w:val="0"/>
                <w:szCs w:val="21"/>
              </w:rPr>
            </w:pPr>
            <w:r>
              <w:rPr>
                <w:rFonts w:hint="eastAsia" w:ascii="宋体" w:hAnsi="宋体" w:cs="宋体"/>
                <w:b/>
                <w:bCs/>
                <w:spacing w:val="-12"/>
                <w:kern w:val="0"/>
                <w:szCs w:val="21"/>
              </w:rPr>
              <w:t>序号</w:t>
            </w:r>
          </w:p>
        </w:tc>
        <w:tc>
          <w:tcPr>
            <w:tcW w:w="3295" w:type="dxa"/>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项目名称</w:t>
            </w:r>
          </w:p>
        </w:tc>
        <w:tc>
          <w:tcPr>
            <w:tcW w:w="5102" w:type="dxa"/>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项目内容</w:t>
            </w:r>
          </w:p>
        </w:tc>
        <w:tc>
          <w:tcPr>
            <w:tcW w:w="2837" w:type="dxa"/>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年度目标</w:t>
            </w:r>
          </w:p>
        </w:tc>
        <w:tc>
          <w:tcPr>
            <w:tcW w:w="2263" w:type="dxa"/>
            <w:vAlign w:val="center"/>
          </w:tcPr>
          <w:p>
            <w:pPr>
              <w:widowControl/>
              <w:spacing w:line="380" w:lineRule="exact"/>
              <w:jc w:val="center"/>
              <w:rPr>
                <w:rFonts w:ascii="宋体" w:hAnsi="宋体" w:cs="宋体"/>
                <w:b/>
                <w:bCs/>
                <w:kern w:val="0"/>
                <w:sz w:val="24"/>
              </w:rPr>
            </w:pPr>
            <w:r>
              <w:rPr>
                <w:rFonts w:hint="eastAsia" w:ascii="宋体" w:hAnsi="宋体" w:cs="宋体"/>
                <w:b/>
                <w:bCs/>
                <w:kern w:val="0"/>
                <w:sz w:val="24"/>
              </w:rPr>
              <w:t>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41" w:type="dxa"/>
            <w:gridSpan w:val="5"/>
            <w:vAlign w:val="center"/>
          </w:tcPr>
          <w:p>
            <w:pPr>
              <w:spacing w:line="380" w:lineRule="exact"/>
              <w:rPr>
                <w:rFonts w:ascii="仿宋_GB2312" w:hAnsi="宋体" w:eastAsia="仿宋_GB2312" w:cs="宋体"/>
                <w:kern w:val="0"/>
                <w:szCs w:val="21"/>
              </w:rPr>
            </w:pPr>
            <w:r>
              <w:rPr>
                <w:rFonts w:hint="eastAsia" w:ascii="黑体" w:eastAsia="黑体"/>
                <w:sz w:val="28"/>
                <w:szCs w:val="28"/>
              </w:rPr>
              <w:t>一、经济发展项目(包括集体经济监管)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光彩市场改造</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占地面积41420㎡，建筑面积67300㎡，通过光彩市场转型升级，打造成以智慧、生态、共享为特色的文化科创综合体。</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启动</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经发办、天地软件园、真光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2</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智能制造及机器人产业园二期</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与区规土局等部门的沟通协调，积极推进土地资源二次开发工作，调整用地性质，提高土地容积率，加快推进长征工业区工业用地转型开发。</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完成二期规划方案</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经发办、规建办、金江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3</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天地斐讯创新创业园改造</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占地面积19559㎡，建筑面积33842.16㎡，形成斐讯</w:t>
            </w:r>
            <w:r>
              <w:rPr>
                <w:rFonts w:ascii="仿宋_GB2312" w:eastAsia="仿宋_GB2312"/>
                <w:szCs w:val="21"/>
              </w:rPr>
              <w:t>智能家庭产业</w:t>
            </w:r>
            <w:r>
              <w:rPr>
                <w:rFonts w:hint="eastAsia" w:ascii="仿宋_GB2312" w:eastAsia="仿宋_GB2312"/>
                <w:szCs w:val="21"/>
              </w:rPr>
              <w:t>生态链</w:t>
            </w:r>
            <w:r>
              <w:rPr>
                <w:rFonts w:ascii="仿宋_GB2312" w:eastAsia="仿宋_GB2312"/>
                <w:szCs w:val="21"/>
              </w:rPr>
              <w:t>孵化集聚区，</w:t>
            </w:r>
            <w:r>
              <w:rPr>
                <w:rFonts w:hint="eastAsia" w:ascii="仿宋_GB2312" w:eastAsia="仿宋_GB2312"/>
                <w:szCs w:val="21"/>
              </w:rPr>
              <w:t>斐讯医疗大健康产业发展集聚区，斐讯大数据研发与成果展示区。</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经发办、天地软件园、百达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4</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梅缘酒家改造项目</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项目建筑面积6000㎡，继续加快以映石文化投资公司为主导的影视后期制作基地建设，充实金沙江路影视产业带内容。</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经发办、现代天地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41" w:type="dxa"/>
            <w:gridSpan w:val="5"/>
            <w:vAlign w:val="center"/>
          </w:tcPr>
          <w:p>
            <w:pPr>
              <w:spacing w:line="380" w:lineRule="exact"/>
              <w:rPr>
                <w:rFonts w:ascii="黑体" w:eastAsia="黑体"/>
                <w:sz w:val="28"/>
                <w:szCs w:val="28"/>
              </w:rPr>
            </w:pPr>
            <w:r>
              <w:rPr>
                <w:rFonts w:hint="eastAsia" w:ascii="黑体" w:eastAsia="黑体"/>
                <w:sz w:val="28"/>
                <w:szCs w:val="28"/>
              </w:rPr>
              <w:t>二、体制改革项目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1</w:t>
            </w:r>
          </w:p>
        </w:tc>
        <w:tc>
          <w:tcPr>
            <w:tcW w:w="3295" w:type="dxa"/>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队级集体资产处置</w:t>
            </w:r>
          </w:p>
        </w:tc>
        <w:tc>
          <w:tcPr>
            <w:tcW w:w="5102" w:type="dxa"/>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进入攻坚克难阶段，指导基层单位继续推进原长征2队集体资产处置工作。</w:t>
            </w:r>
          </w:p>
        </w:tc>
        <w:tc>
          <w:tcPr>
            <w:tcW w:w="2837" w:type="dxa"/>
            <w:vAlign w:val="center"/>
          </w:tcPr>
          <w:p>
            <w:pPr>
              <w:spacing w:line="280" w:lineRule="exact"/>
              <w:rPr>
                <w:rFonts w:ascii="仿宋_GB2312" w:hAnsi="宋体" w:eastAsia="仿宋_GB2312" w:cs="黑体"/>
                <w:bCs/>
                <w:kern w:val="0"/>
                <w:szCs w:val="21"/>
              </w:rPr>
            </w:pPr>
            <w:r>
              <w:rPr>
                <w:rFonts w:hint="eastAsia" w:ascii="仿宋_GB2312" w:hAnsi="宋体" w:eastAsia="仿宋_GB2312"/>
                <w:kern w:val="0"/>
                <w:szCs w:val="21"/>
              </w:rPr>
              <w:t>争取妥善收尾</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体改办、信访办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2</w:t>
            </w:r>
          </w:p>
        </w:tc>
        <w:tc>
          <w:tcPr>
            <w:tcW w:w="3295" w:type="dxa"/>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村级集体经济组织产权制度改革</w:t>
            </w:r>
          </w:p>
        </w:tc>
        <w:tc>
          <w:tcPr>
            <w:tcW w:w="5102" w:type="dxa"/>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启动试点先行并确保试点单位改革取得成效，形成示范效应，以点带面，推进村级集体经济组织产权制度改革。</w:t>
            </w:r>
          </w:p>
        </w:tc>
        <w:tc>
          <w:tcPr>
            <w:tcW w:w="2837" w:type="dxa"/>
            <w:vAlign w:val="center"/>
          </w:tcPr>
          <w:p>
            <w:pPr>
              <w:spacing w:line="280" w:lineRule="exact"/>
              <w:rPr>
                <w:rFonts w:ascii="仿宋_GB2312" w:hAnsi="宋体" w:eastAsia="仿宋_GB2312" w:cs="黑体"/>
                <w:bCs/>
                <w:kern w:val="0"/>
                <w:szCs w:val="21"/>
              </w:rPr>
            </w:pPr>
            <w:r>
              <w:rPr>
                <w:rFonts w:hint="eastAsia" w:ascii="仿宋_GB2312" w:hAnsi="宋体" w:eastAsia="仿宋_GB2312"/>
                <w:kern w:val="0"/>
                <w:szCs w:val="21"/>
              </w:rPr>
              <w:t>力争完成3-4家村级集体经济组织产权制度改革工作</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体改办、集资办、经发办、信访办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3</w:t>
            </w:r>
          </w:p>
        </w:tc>
        <w:tc>
          <w:tcPr>
            <w:tcW w:w="3295" w:type="dxa"/>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镇级层面改革</w:t>
            </w:r>
          </w:p>
        </w:tc>
        <w:tc>
          <w:tcPr>
            <w:tcW w:w="5102" w:type="dxa"/>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开展镇级集体资产（镇属企业）调研，走访学习外单位镇级改革经验。完善镇级集体资产（镇属企业）监管和经营体制机制改革方案，拟定镇级集体经济组织产权制度改革方案。</w:t>
            </w:r>
          </w:p>
        </w:tc>
        <w:tc>
          <w:tcPr>
            <w:tcW w:w="2837" w:type="dxa"/>
            <w:vAlign w:val="center"/>
          </w:tcPr>
          <w:p>
            <w:pPr>
              <w:spacing w:line="280" w:lineRule="exact"/>
              <w:rPr>
                <w:rFonts w:ascii="仿宋_GB2312" w:hAnsi="宋体" w:eastAsia="仿宋_GB2312" w:cs="黑体"/>
                <w:bCs/>
                <w:kern w:val="0"/>
                <w:szCs w:val="21"/>
              </w:rPr>
            </w:pPr>
            <w:r>
              <w:rPr>
                <w:rFonts w:hint="eastAsia" w:ascii="仿宋_GB2312" w:hAnsi="宋体" w:eastAsia="仿宋_GB2312" w:cs="黑体"/>
                <w:bCs/>
                <w:kern w:val="0"/>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体改办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41" w:type="dxa"/>
            <w:gridSpan w:val="5"/>
            <w:vAlign w:val="center"/>
          </w:tcPr>
          <w:p>
            <w:pPr>
              <w:spacing w:line="350" w:lineRule="exact"/>
              <w:rPr>
                <w:rFonts w:ascii="黑体" w:eastAsia="黑体"/>
                <w:sz w:val="28"/>
                <w:szCs w:val="28"/>
              </w:rPr>
            </w:pPr>
            <w:r>
              <w:rPr>
                <w:rFonts w:hint="eastAsia" w:ascii="黑体" w:eastAsia="黑体"/>
                <w:sz w:val="28"/>
                <w:szCs w:val="28"/>
              </w:rPr>
              <w:t>三、城市建设项目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“无违建”居村创建</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深入开展全镇范围内30个创建单元的无违建居村（园区）创建任务，结合微更新改造和老旧小区综合改造，切实改善居民居住环境，做到拆有章法、建有规划、管有成效、美有温度。</w:t>
            </w:r>
          </w:p>
        </w:tc>
        <w:tc>
          <w:tcPr>
            <w:tcW w:w="2837" w:type="dxa"/>
            <w:vAlign w:val="center"/>
          </w:tcPr>
          <w:p>
            <w:pPr>
              <w:spacing w:line="280" w:lineRule="exact"/>
              <w:rPr>
                <w:rFonts w:ascii="仿宋_GB2312" w:eastAsia="仿宋_GB2312"/>
                <w:szCs w:val="21"/>
              </w:rPr>
            </w:pPr>
            <w:r>
              <w:rPr>
                <w:rFonts w:hint="eastAsia" w:ascii="仿宋_GB2312" w:eastAsia="仿宋_GB2312"/>
                <w:szCs w:val="21"/>
              </w:rPr>
              <w:t>完成90%创建目标，拆除违法建筑5.8万平方米</w:t>
            </w:r>
          </w:p>
        </w:tc>
        <w:tc>
          <w:tcPr>
            <w:tcW w:w="2263" w:type="dxa"/>
            <w:vAlign w:val="center"/>
          </w:tcPr>
          <w:p>
            <w:pPr>
              <w:spacing w:line="280" w:lineRule="exact"/>
              <w:rPr>
                <w:rFonts w:ascii="仿宋_GB2312" w:eastAsia="仿宋_GB2312"/>
                <w:szCs w:val="21"/>
              </w:rPr>
            </w:pPr>
            <w:r>
              <w:rPr>
                <w:rFonts w:hint="eastAsia" w:ascii="仿宋_GB2312" w:eastAsia="仿宋_GB2312"/>
                <w:szCs w:val="21"/>
              </w:rPr>
              <w:t>规建办、社管办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2</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国家卫生镇复审</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综合运用城市精细化管理手段，完善长效管理机制，补齐辖区市容环境“短板”，按照千分制标准，迎接国家卫生镇复审。</w:t>
            </w:r>
          </w:p>
        </w:tc>
        <w:tc>
          <w:tcPr>
            <w:tcW w:w="2837" w:type="dxa"/>
            <w:vAlign w:val="center"/>
          </w:tcPr>
          <w:p>
            <w:pPr>
              <w:spacing w:line="280" w:lineRule="exact"/>
              <w:rPr>
                <w:rFonts w:ascii="仿宋_GB2312" w:eastAsia="仿宋_GB2312"/>
                <w:szCs w:val="21"/>
              </w:rPr>
            </w:pPr>
            <w:r>
              <w:rPr>
                <w:rFonts w:hint="eastAsia" w:ascii="仿宋_GB2312" w:eastAsia="仿宋_GB2312"/>
                <w:szCs w:val="21"/>
              </w:rPr>
              <w:t>确保通过</w:t>
            </w:r>
          </w:p>
        </w:tc>
        <w:tc>
          <w:tcPr>
            <w:tcW w:w="2263" w:type="dxa"/>
            <w:vAlign w:val="center"/>
          </w:tcPr>
          <w:p>
            <w:pPr>
              <w:spacing w:line="280" w:lineRule="exact"/>
              <w:rPr>
                <w:rFonts w:ascii="仿宋_GB2312" w:eastAsia="仿宋_GB2312"/>
                <w:szCs w:val="21"/>
              </w:rPr>
            </w:pPr>
            <w:r>
              <w:rPr>
                <w:rFonts w:hint="eastAsia" w:ascii="仿宋_GB2312" w:eastAsia="仿宋_GB2312"/>
                <w:szCs w:val="21"/>
              </w:rPr>
              <w:t>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3</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垃圾分类及“绿色账户”工作</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持续推进垃圾分类和“绿色账户”工作，进一步提高单位和居民自觉分类的意识，加强对机关企事业单位垃圾分类的指导监督。</w:t>
            </w:r>
          </w:p>
        </w:tc>
        <w:tc>
          <w:tcPr>
            <w:tcW w:w="2837" w:type="dxa"/>
            <w:vAlign w:val="center"/>
          </w:tcPr>
          <w:p>
            <w:pPr>
              <w:spacing w:line="280" w:lineRule="exact"/>
              <w:rPr>
                <w:rFonts w:ascii="仿宋_GB2312" w:eastAsia="仿宋_GB2312"/>
                <w:szCs w:val="21"/>
              </w:rPr>
            </w:pPr>
            <w:r>
              <w:rPr>
                <w:rFonts w:hint="eastAsia" w:ascii="仿宋_GB2312" w:eastAsia="仿宋_GB2312"/>
                <w:szCs w:val="21"/>
              </w:rPr>
              <w:t>完成新增1万户任务</w:t>
            </w:r>
          </w:p>
        </w:tc>
        <w:tc>
          <w:tcPr>
            <w:tcW w:w="2263" w:type="dxa"/>
            <w:vAlign w:val="center"/>
          </w:tcPr>
          <w:p>
            <w:pPr>
              <w:spacing w:line="280" w:lineRule="exact"/>
              <w:rPr>
                <w:rFonts w:ascii="仿宋_GB2312" w:eastAsia="仿宋_GB2312"/>
                <w:szCs w:val="21"/>
              </w:rPr>
            </w:pPr>
            <w:r>
              <w:rPr>
                <w:rFonts w:hint="eastAsia" w:ascii="仿宋_GB2312" w:eastAsia="仿宋_GB2312"/>
                <w:szCs w:val="21"/>
              </w:rPr>
              <w:t>规建办、绿容所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4</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镇管公共绿地调整改造</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完成东旺家园、梅川路999弄等4个镇管公共绿地调整改造项目。</w:t>
            </w:r>
          </w:p>
        </w:tc>
        <w:tc>
          <w:tcPr>
            <w:tcW w:w="2837" w:type="dxa"/>
            <w:vAlign w:val="center"/>
          </w:tcPr>
          <w:p>
            <w:pPr>
              <w:spacing w:line="280" w:lineRule="exact"/>
              <w:rPr>
                <w:rFonts w:ascii="仿宋_GB2312" w:eastAsia="仿宋_GB2312"/>
                <w:szCs w:val="21"/>
              </w:rPr>
            </w:pPr>
            <w:r>
              <w:rPr>
                <w:rFonts w:hint="eastAsia" w:ascii="仿宋_GB2312" w:eastAsia="仿宋_GB2312"/>
                <w:szCs w:val="21"/>
              </w:rPr>
              <w:t>完成</w:t>
            </w:r>
          </w:p>
        </w:tc>
        <w:tc>
          <w:tcPr>
            <w:tcW w:w="2263" w:type="dxa"/>
            <w:vAlign w:val="center"/>
          </w:tcPr>
          <w:p>
            <w:pPr>
              <w:spacing w:line="280" w:lineRule="exact"/>
              <w:rPr>
                <w:rFonts w:ascii="仿宋_GB2312" w:eastAsia="仿宋_GB2312"/>
                <w:szCs w:val="21"/>
              </w:rPr>
            </w:pPr>
            <w:r>
              <w:rPr>
                <w:rFonts w:hint="eastAsia" w:ascii="仿宋_GB2312" w:eastAsia="仿宋_GB2312"/>
                <w:szCs w:val="21"/>
              </w:rPr>
              <w:t>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5</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景观道路建设</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完成吉镇路（西虬江-延川路）、金沙江路（真北路-花家浜路）、真光路（曹安路-金沙江路）3条景观道路建设。</w:t>
            </w:r>
          </w:p>
        </w:tc>
        <w:tc>
          <w:tcPr>
            <w:tcW w:w="2837" w:type="dxa"/>
            <w:vAlign w:val="center"/>
          </w:tcPr>
          <w:p>
            <w:pPr>
              <w:spacing w:line="280" w:lineRule="exact"/>
              <w:rPr>
                <w:rFonts w:ascii="仿宋_GB2312" w:eastAsia="仿宋_GB2312"/>
                <w:szCs w:val="21"/>
              </w:rPr>
            </w:pPr>
            <w:r>
              <w:rPr>
                <w:rFonts w:hint="eastAsia" w:ascii="仿宋_GB2312" w:eastAsia="仿宋_GB2312"/>
                <w:szCs w:val="21"/>
              </w:rPr>
              <w:t>完成</w:t>
            </w:r>
          </w:p>
        </w:tc>
        <w:tc>
          <w:tcPr>
            <w:tcW w:w="2263" w:type="dxa"/>
            <w:vAlign w:val="center"/>
          </w:tcPr>
          <w:p>
            <w:pPr>
              <w:spacing w:line="280" w:lineRule="exact"/>
              <w:rPr>
                <w:rFonts w:ascii="仿宋_GB2312" w:eastAsia="仿宋_GB2312"/>
                <w:szCs w:val="21"/>
              </w:rPr>
            </w:pPr>
            <w:r>
              <w:rPr>
                <w:rFonts w:hint="eastAsia" w:ascii="仿宋_GB2312" w:eastAsia="仿宋_GB2312"/>
                <w:szCs w:val="21"/>
              </w:rPr>
              <w:t>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6</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旧小区危房加固维修</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完成吉镇路450弄55-58号、梅一小区7栋房屋</w:t>
            </w:r>
            <w:r>
              <w:rPr>
                <w:rFonts w:ascii="仿宋_GB2312" w:eastAsia="仿宋_GB2312"/>
                <w:szCs w:val="21"/>
              </w:rPr>
              <w:t>解危加固修缮</w:t>
            </w:r>
            <w:r>
              <w:rPr>
                <w:rFonts w:hint="eastAsia" w:ascii="仿宋_GB2312" w:eastAsia="仿宋_GB2312"/>
                <w:szCs w:val="21"/>
              </w:rPr>
              <w:t>工作。</w:t>
            </w:r>
          </w:p>
        </w:tc>
        <w:tc>
          <w:tcPr>
            <w:tcW w:w="2837" w:type="dxa"/>
            <w:vAlign w:val="center"/>
          </w:tcPr>
          <w:p>
            <w:pPr>
              <w:spacing w:line="280" w:lineRule="exact"/>
              <w:rPr>
                <w:rFonts w:ascii="仿宋_GB2312" w:eastAsia="仿宋_GB2312"/>
                <w:szCs w:val="21"/>
              </w:rPr>
            </w:pPr>
            <w:r>
              <w:rPr>
                <w:rFonts w:hint="eastAsia" w:ascii="仿宋_GB2312" w:eastAsia="仿宋_GB2312"/>
                <w:szCs w:val="21"/>
              </w:rPr>
              <w:t>完成</w:t>
            </w:r>
          </w:p>
        </w:tc>
        <w:tc>
          <w:tcPr>
            <w:tcW w:w="2263" w:type="dxa"/>
            <w:vAlign w:val="center"/>
          </w:tcPr>
          <w:p>
            <w:pPr>
              <w:spacing w:line="280" w:lineRule="exact"/>
              <w:rPr>
                <w:rFonts w:ascii="仿宋_GB2312" w:eastAsia="仿宋_GB2312"/>
                <w:szCs w:val="21"/>
              </w:rPr>
            </w:pPr>
            <w:r>
              <w:rPr>
                <w:rFonts w:hint="eastAsia" w:ascii="仿宋_GB2312" w:eastAsia="仿宋_GB2312"/>
                <w:szCs w:val="21"/>
              </w:rPr>
              <w:t>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7</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旧居住区综合改造项目</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完成梅川馨苑、嘉云苑、新长征花苑屋面及相关设施改造工程和</w:t>
            </w:r>
            <w:r>
              <w:rPr>
                <w:rFonts w:ascii="仿宋_GB2312" w:eastAsia="仿宋_GB2312"/>
                <w:szCs w:val="21"/>
              </w:rPr>
              <w:t>怒江苑等小区环境综合整治等。</w:t>
            </w:r>
          </w:p>
        </w:tc>
        <w:tc>
          <w:tcPr>
            <w:tcW w:w="2837" w:type="dxa"/>
            <w:vAlign w:val="center"/>
          </w:tcPr>
          <w:p>
            <w:pPr>
              <w:spacing w:line="280" w:lineRule="exact"/>
              <w:rPr>
                <w:rFonts w:ascii="仿宋_GB2312" w:eastAsia="仿宋_GB2312"/>
                <w:szCs w:val="21"/>
              </w:rPr>
            </w:pPr>
            <w:r>
              <w:rPr>
                <w:rFonts w:hint="eastAsia" w:ascii="仿宋_GB2312" w:eastAsia="仿宋_GB2312"/>
                <w:szCs w:val="21"/>
              </w:rPr>
              <w:t>完成</w:t>
            </w:r>
          </w:p>
        </w:tc>
        <w:tc>
          <w:tcPr>
            <w:tcW w:w="2263" w:type="dxa"/>
            <w:vAlign w:val="center"/>
          </w:tcPr>
          <w:p>
            <w:pPr>
              <w:spacing w:line="280" w:lineRule="exact"/>
              <w:rPr>
                <w:rFonts w:ascii="仿宋_GB2312" w:eastAsia="仿宋_GB2312"/>
                <w:szCs w:val="21"/>
              </w:rPr>
            </w:pPr>
            <w:r>
              <w:rPr>
                <w:rFonts w:hint="eastAsia" w:ascii="仿宋_GB2312" w:eastAsia="仿宋_GB2312"/>
                <w:szCs w:val="21"/>
              </w:rPr>
              <w:t>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41" w:type="dxa"/>
            <w:gridSpan w:val="5"/>
            <w:vAlign w:val="center"/>
          </w:tcPr>
          <w:p>
            <w:pPr>
              <w:spacing w:line="380" w:lineRule="exact"/>
              <w:rPr>
                <w:rFonts w:ascii="黑体" w:eastAsia="黑体"/>
                <w:sz w:val="28"/>
                <w:szCs w:val="28"/>
              </w:rPr>
            </w:pPr>
            <w:r>
              <w:rPr>
                <w:rFonts w:hint="eastAsia" w:ascii="黑体" w:eastAsia="黑体"/>
                <w:sz w:val="28"/>
                <w:szCs w:val="28"/>
              </w:rPr>
              <w:t>四、社区管理项目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3295"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“三改三美”计划</w:t>
            </w:r>
          </w:p>
        </w:tc>
        <w:tc>
          <w:tcPr>
            <w:tcW w:w="5102"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改进居民区工作机制方法，改善居民区软、硬件设施，改变居民区整体环境，实现工作美业，环境美化，生活美好，构建居民区美丽新家园。</w:t>
            </w:r>
          </w:p>
        </w:tc>
        <w:tc>
          <w:tcPr>
            <w:tcW w:w="2837"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szCs w:val="21"/>
              </w:rPr>
              <w:t>新一轮居委会标准化建设完成60%，居委会邻聚会客厅建设完成60%，四星、五星居委会创建达到50%</w:t>
            </w:r>
          </w:p>
        </w:tc>
        <w:tc>
          <w:tcPr>
            <w:tcW w:w="2263"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社区办、社工事务所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3295"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“同心家园”项目建设</w:t>
            </w:r>
          </w:p>
        </w:tc>
        <w:tc>
          <w:tcPr>
            <w:tcW w:w="5102"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围绕解决群众“急难愁盼”问题，通过项目运作方式，进一步完善项目策划、运作机制，优化项目内容，注重经验提炼和优秀项目推广。</w:t>
            </w:r>
          </w:p>
        </w:tc>
        <w:tc>
          <w:tcPr>
            <w:tcW w:w="2837"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完成</w:t>
            </w:r>
          </w:p>
        </w:tc>
        <w:tc>
          <w:tcPr>
            <w:tcW w:w="2263"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社区办、社区基金会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3295"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居民区换届选举</w:t>
            </w:r>
          </w:p>
        </w:tc>
        <w:tc>
          <w:tcPr>
            <w:tcW w:w="5102"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根据相关法律规定，组织全镇各居民区进行居委会换届选举工作。</w:t>
            </w:r>
          </w:p>
        </w:tc>
        <w:tc>
          <w:tcPr>
            <w:tcW w:w="2837"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根据全区统一安排</w:t>
            </w:r>
          </w:p>
        </w:tc>
        <w:tc>
          <w:tcPr>
            <w:tcW w:w="2263"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社区办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3295"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居民区百事汇网上平台建设</w:t>
            </w:r>
          </w:p>
        </w:tc>
        <w:tc>
          <w:tcPr>
            <w:tcW w:w="5102"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开通百事汇网上平台，设立e谏通信息沟通处置版块和百事汇在线学习版块，为居民区提供信息快速沟通跟踪渠道，为社工提供线上学习交流平台。</w:t>
            </w:r>
          </w:p>
        </w:tc>
        <w:tc>
          <w:tcPr>
            <w:tcW w:w="2837"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一季度上线</w:t>
            </w:r>
          </w:p>
        </w:tc>
        <w:tc>
          <w:tcPr>
            <w:tcW w:w="2263"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社区办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3295"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青年社工学院</w:t>
            </w:r>
          </w:p>
        </w:tc>
        <w:tc>
          <w:tcPr>
            <w:tcW w:w="5102"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分层分类开展知识教育和业务培训，提升社工队伍综合素质。</w:t>
            </w:r>
          </w:p>
        </w:tc>
        <w:tc>
          <w:tcPr>
            <w:tcW w:w="2837"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全年开展</w:t>
            </w:r>
          </w:p>
        </w:tc>
        <w:tc>
          <w:tcPr>
            <w:tcW w:w="2263"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党群办、社区办、社工事务所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3295"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社区大调研</w:t>
            </w:r>
          </w:p>
        </w:tc>
        <w:tc>
          <w:tcPr>
            <w:tcW w:w="5102"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完成《长征镇居民社区服务需求调查报告》、《网格化综合管理服务片区中心服务需求调查分报告》、《社区治理需求调查分报告》、《民生保障需求调查分报告》、《社会事业发展需求调查分报告》。</w:t>
            </w:r>
          </w:p>
        </w:tc>
        <w:tc>
          <w:tcPr>
            <w:tcW w:w="2837"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10月完成</w:t>
            </w:r>
          </w:p>
        </w:tc>
        <w:tc>
          <w:tcPr>
            <w:tcW w:w="2263"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社区办、社发办、社区事务受理服务中心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4141" w:type="dxa"/>
            <w:gridSpan w:val="5"/>
            <w:vAlign w:val="center"/>
          </w:tcPr>
          <w:p>
            <w:pPr>
              <w:spacing w:line="380" w:lineRule="exact"/>
              <w:rPr>
                <w:rFonts w:ascii="黑体" w:eastAsia="黑体"/>
                <w:sz w:val="28"/>
                <w:szCs w:val="28"/>
              </w:rPr>
            </w:pPr>
            <w:r>
              <w:rPr>
                <w:rFonts w:hint="eastAsia" w:ascii="黑体" w:eastAsia="黑体"/>
                <w:sz w:val="28"/>
                <w:szCs w:val="28"/>
              </w:rPr>
              <w:t>五、民生保障项目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3295"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网格化综合管理服务片区建设</w:t>
            </w:r>
          </w:p>
        </w:tc>
        <w:tc>
          <w:tcPr>
            <w:tcW w:w="5102"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负责各片区的日常运营，充实片区服务内容，整合党建、群团、社区服务和网格化管理，加强体制机制建设，提升综合管理服务效能。</w:t>
            </w:r>
          </w:p>
        </w:tc>
        <w:tc>
          <w:tcPr>
            <w:tcW w:w="2837"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新城片区3月试运行，金沙片和怒江片年内试运行</w:t>
            </w:r>
          </w:p>
        </w:tc>
        <w:tc>
          <w:tcPr>
            <w:tcW w:w="2263" w:type="dxa"/>
            <w:vAlign w:val="center"/>
          </w:tcPr>
          <w:p>
            <w:pPr>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党群办、社区办、规建办、社发办、社区事务受理服务中心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3295"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kern w:val="0"/>
                <w:szCs w:val="21"/>
              </w:rPr>
              <w:t>就业创业服务</w:t>
            </w:r>
          </w:p>
        </w:tc>
        <w:tc>
          <w:tcPr>
            <w:tcW w:w="510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kern w:val="0"/>
                <w:szCs w:val="21"/>
              </w:rPr>
              <w:t>成立就业创业工作服务站，深化“长征助业直通车”特色工作，组织开展启航主题活动。</w:t>
            </w:r>
          </w:p>
        </w:tc>
        <w:tc>
          <w:tcPr>
            <w:tcW w:w="2837"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kern w:val="0"/>
                <w:szCs w:val="21"/>
              </w:rPr>
              <w:t>完成区下达各项就业指标</w:t>
            </w:r>
          </w:p>
        </w:tc>
        <w:tc>
          <w:tcPr>
            <w:tcW w:w="2263"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kern w:val="0"/>
                <w:szCs w:val="21"/>
              </w:rPr>
              <w:t>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3295"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和谐劳动关系建设</w:t>
            </w:r>
          </w:p>
        </w:tc>
        <w:tc>
          <w:tcPr>
            <w:tcW w:w="5102"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完成市、区下达的和谐劳动关系企业创建指标，试点开展市级劳动争议调解综合示范工作.</w:t>
            </w:r>
          </w:p>
        </w:tc>
        <w:tc>
          <w:tcPr>
            <w:tcW w:w="2837"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完成，试点初审通过</w:t>
            </w:r>
          </w:p>
        </w:tc>
        <w:tc>
          <w:tcPr>
            <w:tcW w:w="22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3295"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养老服务设施布局优化</w:t>
            </w:r>
          </w:p>
        </w:tc>
        <w:tc>
          <w:tcPr>
            <w:tcW w:w="5102"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建设1个为老服务站、1个日间照护中心、1个社区示范睦邻点。</w:t>
            </w:r>
          </w:p>
        </w:tc>
        <w:tc>
          <w:tcPr>
            <w:tcW w:w="2837"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完成</w:t>
            </w:r>
          </w:p>
        </w:tc>
        <w:tc>
          <w:tcPr>
            <w:tcW w:w="22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5</w:t>
            </w:r>
          </w:p>
        </w:tc>
        <w:tc>
          <w:tcPr>
            <w:tcW w:w="3295"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医养结合项目</w:t>
            </w:r>
          </w:p>
        </w:tc>
        <w:tc>
          <w:tcPr>
            <w:tcW w:w="5102"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提升“医养e+”智慧化照护平台,扩大宣传阵地加强宣传力度。完善线上医疗咨询服务系统，提供医疗团队线下进社区服务。整合医疗资源，优化服务配置，每年开展不低于12次健康咨询活动。</w:t>
            </w:r>
          </w:p>
        </w:tc>
        <w:tc>
          <w:tcPr>
            <w:tcW w:w="2837"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持续深化</w:t>
            </w:r>
          </w:p>
        </w:tc>
        <w:tc>
          <w:tcPr>
            <w:tcW w:w="22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6</w:t>
            </w:r>
          </w:p>
        </w:tc>
        <w:tc>
          <w:tcPr>
            <w:tcW w:w="3295" w:type="dxa"/>
            <w:vAlign w:val="center"/>
          </w:tcPr>
          <w:p>
            <w:pPr>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卫生服务站点建设</w:t>
            </w:r>
          </w:p>
        </w:tc>
        <w:tc>
          <w:tcPr>
            <w:tcW w:w="5102"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根据《健康普陀2020》工作计划，结合片区建设，年内至少完成2个标准化卫生服务站点建设。</w:t>
            </w:r>
          </w:p>
        </w:tc>
        <w:tc>
          <w:tcPr>
            <w:tcW w:w="2837"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完成</w:t>
            </w:r>
          </w:p>
        </w:tc>
        <w:tc>
          <w:tcPr>
            <w:tcW w:w="2263" w:type="dxa"/>
            <w:vAlign w:val="center"/>
          </w:tcPr>
          <w:p>
            <w:pPr>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社区事务受理服务中心、长征镇社区卫生服务中心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3295"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长期护理保险工作</w:t>
            </w:r>
          </w:p>
        </w:tc>
        <w:tc>
          <w:tcPr>
            <w:tcW w:w="510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加大长护险宣传力度，做好培训、接待受理工作。</w:t>
            </w:r>
          </w:p>
        </w:tc>
        <w:tc>
          <w:tcPr>
            <w:tcW w:w="2837"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扩大受益面，有效落实长护险政策的推广</w:t>
            </w:r>
          </w:p>
        </w:tc>
        <w:tc>
          <w:tcPr>
            <w:tcW w:w="22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3295"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社区事务受理服务中心办理事项“全市通办”工作</w:t>
            </w:r>
          </w:p>
        </w:tc>
        <w:tc>
          <w:tcPr>
            <w:tcW w:w="510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根据《上海市人民政府办公厅关于本市各街镇社区事务受理服务中心办理事项全面实施“全市通办”的通知》要求，调整服务时间和服务项目流程，做到服务“全覆盖”。</w:t>
            </w:r>
          </w:p>
        </w:tc>
        <w:tc>
          <w:tcPr>
            <w:tcW w:w="2837"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根据市级要求统一安排</w:t>
            </w:r>
          </w:p>
        </w:tc>
        <w:tc>
          <w:tcPr>
            <w:tcW w:w="2263" w:type="dxa"/>
            <w:vAlign w:val="center"/>
          </w:tcPr>
          <w:p>
            <w:pPr>
              <w:spacing w:line="28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社区事务受理服务中心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41" w:type="dxa"/>
            <w:gridSpan w:val="5"/>
            <w:vAlign w:val="center"/>
          </w:tcPr>
          <w:p>
            <w:pPr>
              <w:spacing w:line="380" w:lineRule="exact"/>
              <w:rPr>
                <w:rFonts w:ascii="仿宋_GB2312" w:hAnsi="宋体" w:eastAsia="仿宋_GB2312"/>
                <w:szCs w:val="21"/>
              </w:rPr>
            </w:pPr>
            <w:r>
              <w:rPr>
                <w:rFonts w:hint="eastAsia" w:ascii="黑体" w:eastAsia="黑体"/>
                <w:sz w:val="28"/>
                <w:szCs w:val="28"/>
              </w:rPr>
              <w:t>六、社会事业项目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1</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VR科技馆改造</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将原有长征镇社区科技馆进行改造，引入数字多媒体和人机互动的技术应用，为观众塑造一个虚拟现实的空间，激发社区居民参与的热情，更好普及科学知识。</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上半年完成改造</w:t>
            </w:r>
            <w:r>
              <w:rPr>
                <w:rFonts w:hint="eastAsia" w:ascii="仿宋_GB2312" w:hAnsi="宋体" w:eastAsia="仿宋_GB2312"/>
                <w:szCs w:val="21"/>
                <w:lang w:eastAsia="zh-CN"/>
              </w:rPr>
              <w:t>，</w:t>
            </w:r>
            <w:r>
              <w:rPr>
                <w:rFonts w:hint="eastAsia" w:ascii="仿宋_GB2312" w:hAnsi="宋体" w:eastAsia="仿宋_GB2312"/>
                <w:szCs w:val="21"/>
              </w:rPr>
              <w:t>对市民开放</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2</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社区创新屋改造</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对长征社区文化活动中心3楼的科普社区创新屋进行改造，进一步丰富功能体验，扩大创新屋面积，设立机器人创客工作室区域，提升科普创新参与度。</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上半年完成改造，对市民开放</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3</w:t>
            </w:r>
          </w:p>
        </w:tc>
        <w:tc>
          <w:tcPr>
            <w:tcW w:w="3295" w:type="dxa"/>
            <w:vAlign w:val="center"/>
          </w:tcPr>
          <w:p>
            <w:pPr>
              <w:spacing w:line="280" w:lineRule="exact"/>
              <w:jc w:val="left"/>
              <w:rPr>
                <w:rFonts w:ascii="仿宋_GB2312" w:eastAsia="仿宋_GB2312"/>
                <w:szCs w:val="21"/>
              </w:rPr>
            </w:pPr>
            <w:r>
              <w:rPr>
                <w:rFonts w:hint="eastAsia" w:ascii="仿宋_GB2312" w:eastAsia="仿宋_GB2312"/>
                <w:szCs w:val="21"/>
              </w:rPr>
              <w:t>“长征杯”谁是舞林高手舞蹈大赛</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全市性舞蹈</w:t>
            </w:r>
            <w:r>
              <w:rPr>
                <w:rFonts w:ascii="仿宋_GB2312" w:eastAsia="仿宋_GB2312"/>
                <w:szCs w:val="21"/>
              </w:rPr>
              <w:t>比赛</w:t>
            </w:r>
            <w:r>
              <w:rPr>
                <w:rFonts w:hint="eastAsia" w:ascii="仿宋_GB2312" w:eastAsia="仿宋_GB2312"/>
                <w:szCs w:val="21"/>
              </w:rPr>
              <w:t>。</w:t>
            </w:r>
            <w:r>
              <w:rPr>
                <w:rFonts w:hint="eastAsia" w:ascii="仿宋_GB2312" w:hAnsi="宋体" w:eastAsia="仿宋_GB2312"/>
                <w:szCs w:val="21"/>
              </w:rPr>
              <w:t>以</w:t>
            </w:r>
            <w:r>
              <w:rPr>
                <w:rFonts w:ascii="仿宋_GB2312" w:hAnsi="宋体" w:eastAsia="仿宋_GB2312"/>
                <w:szCs w:val="21"/>
              </w:rPr>
              <w:t>多元化的</w:t>
            </w:r>
            <w:r>
              <w:rPr>
                <w:rFonts w:hint="eastAsia" w:ascii="仿宋_GB2312" w:hAnsi="宋体" w:eastAsia="仿宋_GB2312"/>
                <w:szCs w:val="21"/>
              </w:rPr>
              <w:t>赛程设置</w:t>
            </w:r>
            <w:r>
              <w:rPr>
                <w:rFonts w:ascii="仿宋_GB2312" w:hAnsi="宋体" w:eastAsia="仿宋_GB2312"/>
                <w:szCs w:val="21"/>
              </w:rPr>
              <w:t>、</w:t>
            </w:r>
            <w:r>
              <w:rPr>
                <w:rFonts w:hint="eastAsia" w:ascii="仿宋_GB2312" w:hAnsi="宋体" w:eastAsia="仿宋_GB2312"/>
                <w:szCs w:val="21"/>
              </w:rPr>
              <w:t>丰富</w:t>
            </w:r>
            <w:r>
              <w:rPr>
                <w:rFonts w:ascii="仿宋_GB2312" w:hAnsi="宋体" w:eastAsia="仿宋_GB2312"/>
                <w:szCs w:val="21"/>
              </w:rPr>
              <w:t>的舞台形式、</w:t>
            </w:r>
            <w:r>
              <w:rPr>
                <w:rFonts w:hint="eastAsia" w:ascii="仿宋_GB2312" w:hAnsi="宋体" w:eastAsia="仿宋_GB2312"/>
                <w:szCs w:val="21"/>
              </w:rPr>
              <w:t>专业的</w:t>
            </w:r>
            <w:r>
              <w:rPr>
                <w:rFonts w:ascii="仿宋_GB2312" w:hAnsi="宋体" w:eastAsia="仿宋_GB2312"/>
                <w:szCs w:val="21"/>
              </w:rPr>
              <w:t>艺术指导</w:t>
            </w:r>
            <w:r>
              <w:rPr>
                <w:rFonts w:hint="eastAsia" w:ascii="仿宋_GB2312" w:hAnsi="宋体" w:eastAsia="仿宋_GB2312"/>
                <w:szCs w:val="21"/>
              </w:rPr>
              <w:t>吸引</w:t>
            </w:r>
            <w:r>
              <w:rPr>
                <w:rFonts w:ascii="仿宋_GB2312" w:hAnsi="宋体" w:eastAsia="仿宋_GB2312"/>
                <w:szCs w:val="21"/>
              </w:rPr>
              <w:t>更多的年轻舞蹈人才来到长征，充实“</w:t>
            </w:r>
            <w:r>
              <w:rPr>
                <w:rFonts w:hint="eastAsia" w:ascii="仿宋_GB2312" w:hAnsi="宋体" w:eastAsia="仿宋_GB2312"/>
                <w:szCs w:val="21"/>
              </w:rPr>
              <w:t>轻影</w:t>
            </w:r>
            <w:r>
              <w:rPr>
                <w:rFonts w:ascii="仿宋_GB2312" w:hAnsi="宋体" w:eastAsia="仿宋_GB2312"/>
                <w:szCs w:val="21"/>
              </w:rPr>
              <w:t>”</w:t>
            </w:r>
            <w:r>
              <w:rPr>
                <w:rFonts w:hint="eastAsia" w:ascii="仿宋_GB2312" w:hAnsi="宋体" w:eastAsia="仿宋_GB2312"/>
                <w:szCs w:val="21"/>
              </w:rPr>
              <w:t>舞蹈艺术工作室队伍。</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4</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“长征杯”朗诵大赛</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全市</w:t>
            </w:r>
            <w:r>
              <w:rPr>
                <w:rFonts w:ascii="仿宋_GB2312" w:eastAsia="仿宋_GB2312"/>
                <w:szCs w:val="21"/>
              </w:rPr>
              <w:t>性</w:t>
            </w:r>
            <w:r>
              <w:rPr>
                <w:rFonts w:hint="eastAsia" w:ascii="仿宋_GB2312" w:eastAsia="仿宋_GB2312"/>
                <w:szCs w:val="21"/>
              </w:rPr>
              <w:t>朗诵艺术</w:t>
            </w:r>
            <w:r>
              <w:rPr>
                <w:rFonts w:ascii="仿宋_GB2312" w:eastAsia="仿宋_GB2312"/>
                <w:szCs w:val="21"/>
              </w:rPr>
              <w:t>比赛。</w:t>
            </w:r>
            <w:r>
              <w:rPr>
                <w:rFonts w:hint="eastAsia" w:ascii="仿宋_GB2312" w:eastAsia="仿宋_GB2312"/>
                <w:szCs w:val="21"/>
              </w:rPr>
              <w:t>以</w:t>
            </w:r>
            <w:r>
              <w:rPr>
                <w:rFonts w:ascii="仿宋_GB2312" w:eastAsia="仿宋_GB2312"/>
                <w:szCs w:val="21"/>
              </w:rPr>
              <w:t>经典诗</w:t>
            </w:r>
            <w:r>
              <w:rPr>
                <w:rFonts w:hint="eastAsia" w:ascii="仿宋_GB2312" w:eastAsia="仿宋_GB2312"/>
                <w:szCs w:val="21"/>
              </w:rPr>
              <w:t>文</w:t>
            </w:r>
            <w:r>
              <w:rPr>
                <w:rFonts w:ascii="仿宋_GB2312" w:eastAsia="仿宋_GB2312"/>
                <w:szCs w:val="21"/>
              </w:rPr>
              <w:t>为载体，用</w:t>
            </w:r>
            <w:r>
              <w:rPr>
                <w:rFonts w:hint="eastAsia" w:ascii="仿宋_GB2312" w:eastAsia="仿宋_GB2312"/>
                <w:szCs w:val="21"/>
              </w:rPr>
              <w:t>优美</w:t>
            </w:r>
            <w:r>
              <w:rPr>
                <w:rFonts w:ascii="仿宋_GB2312" w:eastAsia="仿宋_GB2312"/>
                <w:szCs w:val="21"/>
              </w:rPr>
              <w:t>的朗诵方式</w:t>
            </w:r>
            <w:r>
              <w:rPr>
                <w:rFonts w:hint="eastAsia" w:ascii="仿宋_GB2312" w:eastAsia="仿宋_GB2312"/>
                <w:szCs w:val="21"/>
              </w:rPr>
              <w:t>表达，传承经典文化</w:t>
            </w:r>
            <w:r>
              <w:rPr>
                <w:rFonts w:ascii="仿宋_GB2312" w:eastAsia="仿宋_GB2312"/>
                <w:szCs w:val="21"/>
              </w:rPr>
              <w:t>，传递</w:t>
            </w:r>
            <w:r>
              <w:rPr>
                <w:rFonts w:hint="eastAsia" w:ascii="仿宋_GB2312" w:eastAsia="仿宋_GB2312"/>
                <w:szCs w:val="21"/>
              </w:rPr>
              <w:t>对</w:t>
            </w:r>
            <w:r>
              <w:rPr>
                <w:rFonts w:ascii="仿宋_GB2312" w:eastAsia="仿宋_GB2312"/>
                <w:szCs w:val="21"/>
              </w:rPr>
              <w:t>中华文化和美好生活的热爱</w:t>
            </w:r>
            <w:r>
              <w:rPr>
                <w:rFonts w:hint="eastAsia" w:ascii="仿宋_GB2312" w:eastAsia="仿宋_GB2312"/>
                <w:szCs w:val="21"/>
              </w:rPr>
              <w:t>和追求</w:t>
            </w:r>
            <w:r>
              <w:rPr>
                <w:rFonts w:ascii="仿宋_GB2312" w:eastAsia="仿宋_GB2312"/>
                <w:szCs w:val="21"/>
              </w:rPr>
              <w:t>。</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5</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机器人创新发展项目</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依托长征镇优质教育发展共同体，向幼儿园、小学、初中配送适合不同年龄段的机器人培训课程，培养青少年逻辑思维和创新能力。针对高中，组建“机器人创客团队”，通过参与国际性机器人比赛，培养学生的创新思维、团队精神。</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6</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真光路科普街建设</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打造集科普、文化、教育为一体的智慧社区宣传应用展示阵地</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7</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科技共享百宝箱项目——智慧社区建设</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在社区中设立共享柜，提供公益物品智能共享租借服务，并整合社区爱心公益资源,为社区居民提供科技、智能、优质的服务，体现社区资源共享、互助的理念。</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上半年完成项目建设，提供至少6个百宝箱供居民使用</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44" w:type="dxa"/>
            <w:vAlign w:val="center"/>
          </w:tcPr>
          <w:p>
            <w:pPr>
              <w:spacing w:line="280" w:lineRule="exact"/>
              <w:jc w:val="center"/>
              <w:rPr>
                <w:rFonts w:ascii="仿宋_GB2312" w:eastAsia="仿宋_GB2312"/>
                <w:szCs w:val="21"/>
              </w:rPr>
            </w:pPr>
            <w:r>
              <w:rPr>
                <w:rFonts w:hint="eastAsia" w:ascii="仿宋_GB2312" w:eastAsia="仿宋_GB2312"/>
                <w:szCs w:val="21"/>
              </w:rPr>
              <w:t>8</w:t>
            </w:r>
          </w:p>
        </w:tc>
        <w:tc>
          <w:tcPr>
            <w:tcW w:w="3295" w:type="dxa"/>
            <w:vAlign w:val="center"/>
          </w:tcPr>
          <w:p>
            <w:pPr>
              <w:spacing w:line="280" w:lineRule="exact"/>
              <w:rPr>
                <w:rFonts w:ascii="仿宋_GB2312" w:eastAsia="仿宋_GB2312"/>
                <w:szCs w:val="21"/>
              </w:rPr>
            </w:pPr>
            <w:r>
              <w:rPr>
                <w:rFonts w:hint="eastAsia" w:ascii="仿宋_GB2312" w:eastAsia="仿宋_GB2312"/>
                <w:szCs w:val="21"/>
              </w:rPr>
              <w:t>健身步道建设、益智健身苑建设</w:t>
            </w:r>
          </w:p>
        </w:tc>
        <w:tc>
          <w:tcPr>
            <w:tcW w:w="5102" w:type="dxa"/>
            <w:vAlign w:val="center"/>
          </w:tcPr>
          <w:p>
            <w:pPr>
              <w:spacing w:line="280" w:lineRule="exact"/>
              <w:rPr>
                <w:rFonts w:ascii="仿宋_GB2312" w:eastAsia="仿宋_GB2312"/>
                <w:szCs w:val="21"/>
              </w:rPr>
            </w:pPr>
            <w:r>
              <w:rPr>
                <w:rFonts w:hint="eastAsia" w:ascii="仿宋_GB2312" w:eastAsia="仿宋_GB2312"/>
                <w:szCs w:val="21"/>
              </w:rPr>
              <w:t>逐步完成“一居一道”建设，完成6</w:t>
            </w:r>
            <w:r>
              <w:rPr>
                <w:rFonts w:hint="eastAsia" w:ascii="仿宋_GB2312" w:eastAsia="仿宋_GB2312"/>
                <w:szCs w:val="21"/>
                <w:lang w:eastAsia="zh-CN"/>
              </w:rPr>
              <w:t>条</w:t>
            </w:r>
            <w:r>
              <w:rPr>
                <w:rFonts w:hint="eastAsia" w:ascii="仿宋_GB2312" w:eastAsia="仿宋_GB2312"/>
                <w:szCs w:val="21"/>
              </w:rPr>
              <w:t>步道、2个益智健身苑。</w:t>
            </w:r>
          </w:p>
        </w:tc>
        <w:tc>
          <w:tcPr>
            <w:tcW w:w="2837" w:type="dxa"/>
            <w:vAlign w:val="center"/>
          </w:tcPr>
          <w:p>
            <w:pPr>
              <w:spacing w:line="280" w:lineRule="exact"/>
              <w:rPr>
                <w:rFonts w:ascii="仿宋_GB2312" w:hAnsi="宋体" w:eastAsia="仿宋_GB2312"/>
                <w:szCs w:val="21"/>
              </w:rPr>
            </w:pPr>
            <w:r>
              <w:rPr>
                <w:rFonts w:hint="eastAsia" w:ascii="仿宋_GB2312" w:hAnsi="宋体" w:eastAsia="仿宋_GB2312"/>
                <w:szCs w:val="21"/>
              </w:rPr>
              <w:t>完成</w:t>
            </w:r>
          </w:p>
        </w:tc>
        <w:tc>
          <w:tcPr>
            <w:tcW w:w="2263" w:type="dxa"/>
            <w:vAlign w:val="center"/>
          </w:tcPr>
          <w:p>
            <w:pPr>
              <w:spacing w:line="280" w:lineRule="exact"/>
              <w:rPr>
                <w:rFonts w:ascii="仿宋_GB2312" w:hAnsi="宋体" w:eastAsia="仿宋_GB2312"/>
                <w:szCs w:val="21"/>
              </w:rPr>
            </w:pPr>
            <w:r>
              <w:rPr>
                <w:rFonts w:hint="eastAsia" w:ascii="仿宋_GB2312" w:hAnsi="宋体" w:eastAsia="仿宋_GB2312"/>
                <w:szCs w:val="21"/>
              </w:rPr>
              <w:t>社发办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41" w:type="dxa"/>
            <w:gridSpan w:val="5"/>
            <w:vAlign w:val="center"/>
          </w:tcPr>
          <w:p>
            <w:pPr>
              <w:spacing w:line="380" w:lineRule="exact"/>
              <w:rPr>
                <w:rFonts w:ascii="黑体" w:eastAsia="黑体"/>
                <w:sz w:val="28"/>
                <w:szCs w:val="28"/>
              </w:rPr>
            </w:pPr>
            <w:r>
              <w:rPr>
                <w:rFonts w:hint="eastAsia" w:ascii="黑体" w:eastAsia="黑体"/>
                <w:sz w:val="28"/>
                <w:szCs w:val="28"/>
              </w:rPr>
              <w:t>七、安全稳定项目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295"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节点稳控</w:t>
            </w:r>
          </w:p>
        </w:tc>
        <w:tc>
          <w:tcPr>
            <w:tcW w:w="510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做好重要节点的重点人员地区稳控工作。</w:t>
            </w:r>
          </w:p>
        </w:tc>
        <w:tc>
          <w:tcPr>
            <w:tcW w:w="2837"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确保社会面稳定,重要节点实现区下发的重点人员地区稳控工作目标</w:t>
            </w:r>
          </w:p>
        </w:tc>
        <w:tc>
          <w:tcPr>
            <w:tcW w:w="2263"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综治办，信访办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295"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安全隐患排查治理</w:t>
            </w:r>
          </w:p>
        </w:tc>
        <w:tc>
          <w:tcPr>
            <w:tcW w:w="510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严格落实安全生产责任制，以“三合一”场所、高层建筑、建筑工地、危化企业、公众聚集型场所为重点，依法从严开展安全隐患排查整治。</w:t>
            </w:r>
          </w:p>
        </w:tc>
        <w:tc>
          <w:tcPr>
            <w:tcW w:w="2837"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确保镇域不发生重大安全事故，不发生</w:t>
            </w:r>
            <w:r>
              <w:rPr>
                <w:rFonts w:hint="eastAsia" w:ascii="仿宋_GB2312" w:hAnsi="仿宋_GB2312" w:eastAsia="仿宋_GB2312" w:cs="仿宋_GB2312"/>
                <w:szCs w:val="21"/>
                <w:lang w:eastAsia="zh-CN"/>
              </w:rPr>
              <w:t>人员死亡的</w:t>
            </w:r>
            <w:r>
              <w:rPr>
                <w:rFonts w:hint="eastAsia" w:ascii="仿宋_GB2312" w:hAnsi="仿宋_GB2312" w:eastAsia="仿宋_GB2312" w:cs="仿宋_GB2312"/>
                <w:szCs w:val="21"/>
              </w:rPr>
              <w:t>安全事故，镇域安全始终处于可控状态</w:t>
            </w:r>
            <w:bookmarkStart w:id="0" w:name="_GoBack"/>
            <w:bookmarkEnd w:id="0"/>
          </w:p>
        </w:tc>
        <w:tc>
          <w:tcPr>
            <w:tcW w:w="22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ind w:firstLine="105" w:firstLineChars="5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295"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探索安全监管模式创新</w:t>
            </w:r>
          </w:p>
        </w:tc>
        <w:tc>
          <w:tcPr>
            <w:tcW w:w="510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引入第三方安全检查力量，提高安全检查频率和质量，及时发现和整改安全隐患。全方位组织开展应急演练。</w:t>
            </w:r>
          </w:p>
        </w:tc>
        <w:tc>
          <w:tcPr>
            <w:tcW w:w="2837"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提升安全监管水平，镇域安全始终处于可控状态</w:t>
            </w:r>
          </w:p>
        </w:tc>
        <w:tc>
          <w:tcPr>
            <w:tcW w:w="22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4" w:type="dxa"/>
            <w:vAlign w:val="center"/>
          </w:tcPr>
          <w:p>
            <w:pPr>
              <w:spacing w:line="280" w:lineRule="exact"/>
              <w:ind w:firstLine="105" w:firstLineChars="5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295"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小微精特、以奖代补、雪亮工程</w:t>
            </w:r>
          </w:p>
        </w:tc>
        <w:tc>
          <w:tcPr>
            <w:tcW w:w="510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持续推进“小微精特”项目的延伸拓展</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持续推进社区技防设施“以奖代补”，扩大覆盖面和补贴力度</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持续推进防盗门窗挂钩的补贴安装</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试点雪亮工程项目。</w:t>
            </w:r>
          </w:p>
        </w:tc>
        <w:tc>
          <w:tcPr>
            <w:tcW w:w="2837"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创建市级平安示范社区</w:t>
            </w:r>
          </w:p>
        </w:tc>
        <w:tc>
          <w:tcPr>
            <w:tcW w:w="22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综治办</w:t>
            </w:r>
          </w:p>
        </w:tc>
      </w:tr>
    </w:tbl>
    <w:p>
      <w:pPr>
        <w:rPr>
          <w:rFonts w:ascii="仿宋_GB2312" w:hAnsi="仿宋_GB2312" w:eastAsia="仿宋_GB2312" w:cs="仿宋_GB2312"/>
          <w:b/>
          <w:szCs w:val="21"/>
        </w:rPr>
      </w:pPr>
    </w:p>
    <w:sectPr>
      <w:headerReference r:id="rId3" w:type="default"/>
      <w:pgSz w:w="16838" w:h="11906" w:orient="landscape"/>
      <w:pgMar w:top="1191" w:right="1440" w:bottom="1191" w:left="1758" w:header="851" w:footer="1418" w:gutter="0"/>
      <w:pgNumType w:fmt="numberInDash" w:start="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pict>
        <v:rect id="_x0000_s2050" o:spid="_x0000_s2050" o:spt="1" style="position:absolute;left:0pt;margin-left:10.5pt;margin-top:255.6pt;height:83.7pt;width:66.5pt;mso-position-horizontal-relative:page;mso-position-vertical-relative:page;rotation:5898240f;z-index:251658240;mso-width-relative:page;mso-height-relative:page;" stroked="f" coordsize="21600,21600" o:allowincell="f">
          <v:path/>
          <v:fill focussize="0,0"/>
          <v:stroke on="f"/>
          <v:imagedata o:title=""/>
          <o:lock v:ext="edit"/>
          <v:textbox style="layout-flow:vertical-ideographic;">
            <w:txbxContent>
              <w:p>
                <w:pPr>
                  <w:jc w:val="center"/>
                  <w:rPr>
                    <w:rFonts w:ascii="Cambria" w:hAnsi="Cambria"/>
                    <w:sz w:val="48"/>
                    <w:szCs w:val="44"/>
                  </w:rPr>
                </w:pPr>
                <w:r>
                  <w:rPr>
                    <w:rFonts w:hint="eastAsia" w:ascii="仿宋_GB2312" w:eastAsia="仿宋_GB2312"/>
                    <w:sz w:val="30"/>
                    <w:szCs w:val="30"/>
                  </w:rPr>
                  <w:fldChar w:fldCharType="begin"/>
                </w:r>
                <w:r>
                  <w:rPr>
                    <w:rFonts w:hint="eastAsia" w:ascii="仿宋_GB2312" w:eastAsia="仿宋_GB2312"/>
                    <w:sz w:val="30"/>
                    <w:szCs w:val="30"/>
                  </w:rPr>
                  <w:instrText xml:space="preserve"> PAGE   \* MERGEFORMAT </w:instrText>
                </w:r>
                <w:r>
                  <w:rPr>
                    <w:rFonts w:hint="eastAsia" w:ascii="仿宋_GB2312" w:eastAsia="仿宋_GB2312"/>
                    <w:sz w:val="30"/>
                    <w:szCs w:val="30"/>
                  </w:rPr>
                  <w:fldChar w:fldCharType="separate"/>
                </w:r>
                <w:r>
                  <w:rPr>
                    <w:rFonts w:ascii="仿宋_GB2312" w:hAnsi="Cambria" w:eastAsia="仿宋_GB2312"/>
                    <w:sz w:val="30"/>
                    <w:szCs w:val="30"/>
                    <w:lang w:val="zh-CN"/>
                  </w:rPr>
                  <w:t>-</w:t>
                </w:r>
                <w:r>
                  <w:rPr>
                    <w:rFonts w:ascii="仿宋_GB2312" w:eastAsia="仿宋_GB2312"/>
                    <w:sz w:val="30"/>
                    <w:szCs w:val="30"/>
                  </w:rPr>
                  <w:t xml:space="preserve"> 11 -</w:t>
                </w:r>
                <w:r>
                  <w:rPr>
                    <w:rFonts w:hint="eastAsia" w:ascii="仿宋_GB2312" w:eastAsia="仿宋_GB2312"/>
                    <w:sz w:val="30"/>
                    <w:szCs w:val="30"/>
                  </w:rPr>
                  <w:fldChar w:fldCharType="end"/>
                </w:r>
              </w:p>
            </w:txbxContent>
          </v:textbox>
        </v:rect>
      </w:pict>
    </w:r>
    <w:r>
      <w:pict>
        <v:rect id="_x0000_s2049" o:spid="_x0000_s2049" o:spt="1" style="position:absolute;left:0pt;margin-left:0pt;margin-top:284.65pt;height:25.95pt;width:70.3pt;mso-position-horizontal-relative:page;mso-position-vertical-relative:page;z-index:251657216;mso-width-relative:left-margin-area;mso-height-relative:page;mso-width-percent:800;" stroked="f" coordsize="21600,21600" o:allowincell="f">
          <v:path/>
          <v:fill focussize="0,0"/>
          <v:stroke on="f"/>
          <v:imagedata o:title=""/>
          <o:lock v:ext="edit"/>
          <v:textbox>
            <w:txbxContent>
              <w:p>
                <w:pPr>
                  <w:pBdr>
                    <w:bottom w:val="single" w:color="auto" w:sz="4" w:space="1"/>
                  </w:pBdr>
                  <w:jc w:val="right"/>
                </w:pPr>
                <w:r>
                  <w:fldChar w:fldCharType="begin"/>
                </w:r>
                <w:r>
                  <w:instrText xml:space="preserve"> PAGE   \* MERGEFORMAT </w:instrText>
                </w:r>
                <w:r>
                  <w:fldChar w:fldCharType="separate"/>
                </w:r>
                <w:r>
                  <w:rPr>
                    <w:lang w:val="zh-CN"/>
                  </w:rPr>
                  <w:t>-</w:t>
                </w:r>
                <w:r>
                  <w:t xml:space="preserve"> 11 -</w:t>
                </w:r>
                <w:r>
                  <w:fldChar w:fldCharType="end"/>
                </w:r>
              </w:p>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6002"/>
    <w:rsid w:val="000016AF"/>
    <w:rsid w:val="00003454"/>
    <w:rsid w:val="00007D11"/>
    <w:rsid w:val="000139FB"/>
    <w:rsid w:val="00020523"/>
    <w:rsid w:val="0002164A"/>
    <w:rsid w:val="00030ADF"/>
    <w:rsid w:val="00042F65"/>
    <w:rsid w:val="00043986"/>
    <w:rsid w:val="000476E1"/>
    <w:rsid w:val="0005011E"/>
    <w:rsid w:val="00053111"/>
    <w:rsid w:val="000539F9"/>
    <w:rsid w:val="000548AC"/>
    <w:rsid w:val="00071F2A"/>
    <w:rsid w:val="00076910"/>
    <w:rsid w:val="00077AB3"/>
    <w:rsid w:val="00082616"/>
    <w:rsid w:val="0008401A"/>
    <w:rsid w:val="00086AC2"/>
    <w:rsid w:val="000938B4"/>
    <w:rsid w:val="000946CE"/>
    <w:rsid w:val="00094B68"/>
    <w:rsid w:val="00095988"/>
    <w:rsid w:val="00095A8F"/>
    <w:rsid w:val="000A0978"/>
    <w:rsid w:val="000A399F"/>
    <w:rsid w:val="000A3A6A"/>
    <w:rsid w:val="000A7F74"/>
    <w:rsid w:val="000B0747"/>
    <w:rsid w:val="000B25E8"/>
    <w:rsid w:val="000B3583"/>
    <w:rsid w:val="000C2D80"/>
    <w:rsid w:val="000C72B2"/>
    <w:rsid w:val="000C74E0"/>
    <w:rsid w:val="000D2173"/>
    <w:rsid w:val="000D4720"/>
    <w:rsid w:val="000D5847"/>
    <w:rsid w:val="000D643D"/>
    <w:rsid w:val="000D7DEA"/>
    <w:rsid w:val="000E3477"/>
    <w:rsid w:val="000F0E10"/>
    <w:rsid w:val="000F6EF1"/>
    <w:rsid w:val="00101EA8"/>
    <w:rsid w:val="00102BEB"/>
    <w:rsid w:val="001045A6"/>
    <w:rsid w:val="001053FB"/>
    <w:rsid w:val="00105643"/>
    <w:rsid w:val="001063A9"/>
    <w:rsid w:val="00112540"/>
    <w:rsid w:val="00112BF5"/>
    <w:rsid w:val="0011344A"/>
    <w:rsid w:val="00113510"/>
    <w:rsid w:val="00113B86"/>
    <w:rsid w:val="001159A8"/>
    <w:rsid w:val="0012379B"/>
    <w:rsid w:val="001243D3"/>
    <w:rsid w:val="00132135"/>
    <w:rsid w:val="0013473C"/>
    <w:rsid w:val="00135424"/>
    <w:rsid w:val="001362B9"/>
    <w:rsid w:val="001369EE"/>
    <w:rsid w:val="00142B68"/>
    <w:rsid w:val="00142FD6"/>
    <w:rsid w:val="00143B00"/>
    <w:rsid w:val="00152D29"/>
    <w:rsid w:val="00154B03"/>
    <w:rsid w:val="00154B38"/>
    <w:rsid w:val="00160A4A"/>
    <w:rsid w:val="00163DD3"/>
    <w:rsid w:val="00174FD9"/>
    <w:rsid w:val="0017703F"/>
    <w:rsid w:val="00183AAF"/>
    <w:rsid w:val="00187418"/>
    <w:rsid w:val="00191141"/>
    <w:rsid w:val="00192611"/>
    <w:rsid w:val="001945A7"/>
    <w:rsid w:val="001A264B"/>
    <w:rsid w:val="001C3913"/>
    <w:rsid w:val="001C3BD0"/>
    <w:rsid w:val="001C3FE8"/>
    <w:rsid w:val="001C54A6"/>
    <w:rsid w:val="001D0ABA"/>
    <w:rsid w:val="001D5157"/>
    <w:rsid w:val="001E002A"/>
    <w:rsid w:val="001E5E72"/>
    <w:rsid w:val="001F3F87"/>
    <w:rsid w:val="001F5509"/>
    <w:rsid w:val="002010AC"/>
    <w:rsid w:val="00203DB0"/>
    <w:rsid w:val="00207BE1"/>
    <w:rsid w:val="00210698"/>
    <w:rsid w:val="002120D0"/>
    <w:rsid w:val="002140E1"/>
    <w:rsid w:val="00217F67"/>
    <w:rsid w:val="00224358"/>
    <w:rsid w:val="002260B9"/>
    <w:rsid w:val="0023190E"/>
    <w:rsid w:val="00233A92"/>
    <w:rsid w:val="002346E9"/>
    <w:rsid w:val="00234A7F"/>
    <w:rsid w:val="00234CF2"/>
    <w:rsid w:val="00235ED4"/>
    <w:rsid w:val="00237D9C"/>
    <w:rsid w:val="00244AA4"/>
    <w:rsid w:val="00246367"/>
    <w:rsid w:val="0025486B"/>
    <w:rsid w:val="00261229"/>
    <w:rsid w:val="002636B7"/>
    <w:rsid w:val="002649DD"/>
    <w:rsid w:val="00264B98"/>
    <w:rsid w:val="00266B15"/>
    <w:rsid w:val="00267258"/>
    <w:rsid w:val="00270A0A"/>
    <w:rsid w:val="00270BDC"/>
    <w:rsid w:val="00272790"/>
    <w:rsid w:val="002836FC"/>
    <w:rsid w:val="00284543"/>
    <w:rsid w:val="00287EF3"/>
    <w:rsid w:val="002923BE"/>
    <w:rsid w:val="002A1FD7"/>
    <w:rsid w:val="002A279B"/>
    <w:rsid w:val="002A30D4"/>
    <w:rsid w:val="002A6DCE"/>
    <w:rsid w:val="002A75AB"/>
    <w:rsid w:val="002B065A"/>
    <w:rsid w:val="002B0D24"/>
    <w:rsid w:val="002B342F"/>
    <w:rsid w:val="002B6F1C"/>
    <w:rsid w:val="002B7ECB"/>
    <w:rsid w:val="002C318C"/>
    <w:rsid w:val="002C5332"/>
    <w:rsid w:val="002C5E68"/>
    <w:rsid w:val="002D667A"/>
    <w:rsid w:val="002E0244"/>
    <w:rsid w:val="002E0351"/>
    <w:rsid w:val="002E10CF"/>
    <w:rsid w:val="002E1F66"/>
    <w:rsid w:val="002E3602"/>
    <w:rsid w:val="002F3ED2"/>
    <w:rsid w:val="002F6EB0"/>
    <w:rsid w:val="00305459"/>
    <w:rsid w:val="00310FCB"/>
    <w:rsid w:val="00313783"/>
    <w:rsid w:val="00314239"/>
    <w:rsid w:val="00315024"/>
    <w:rsid w:val="00317BB0"/>
    <w:rsid w:val="0032029A"/>
    <w:rsid w:val="00325BA6"/>
    <w:rsid w:val="003272C6"/>
    <w:rsid w:val="00330B88"/>
    <w:rsid w:val="00331A09"/>
    <w:rsid w:val="00334523"/>
    <w:rsid w:val="003446E7"/>
    <w:rsid w:val="00353006"/>
    <w:rsid w:val="00353CA7"/>
    <w:rsid w:val="00354482"/>
    <w:rsid w:val="003571AF"/>
    <w:rsid w:val="00364739"/>
    <w:rsid w:val="0036679F"/>
    <w:rsid w:val="00371FEB"/>
    <w:rsid w:val="00372286"/>
    <w:rsid w:val="00384B83"/>
    <w:rsid w:val="003851E3"/>
    <w:rsid w:val="00397DB7"/>
    <w:rsid w:val="003A00FC"/>
    <w:rsid w:val="003A0B93"/>
    <w:rsid w:val="003A367A"/>
    <w:rsid w:val="003B13E0"/>
    <w:rsid w:val="003B4F52"/>
    <w:rsid w:val="003B64C8"/>
    <w:rsid w:val="003B6A8C"/>
    <w:rsid w:val="003C6C74"/>
    <w:rsid w:val="003C6C95"/>
    <w:rsid w:val="003C7601"/>
    <w:rsid w:val="003D4BE0"/>
    <w:rsid w:val="003D61F8"/>
    <w:rsid w:val="003D699A"/>
    <w:rsid w:val="003E1C09"/>
    <w:rsid w:val="003E2C8A"/>
    <w:rsid w:val="003E2F94"/>
    <w:rsid w:val="003E4708"/>
    <w:rsid w:val="003E5848"/>
    <w:rsid w:val="003E6C6F"/>
    <w:rsid w:val="003E7D0D"/>
    <w:rsid w:val="003F0AF1"/>
    <w:rsid w:val="00401B54"/>
    <w:rsid w:val="00401F4F"/>
    <w:rsid w:val="00421821"/>
    <w:rsid w:val="0042596C"/>
    <w:rsid w:val="004262B0"/>
    <w:rsid w:val="00426737"/>
    <w:rsid w:val="00427490"/>
    <w:rsid w:val="0043214D"/>
    <w:rsid w:val="00432F56"/>
    <w:rsid w:val="004344CA"/>
    <w:rsid w:val="0043450A"/>
    <w:rsid w:val="00435027"/>
    <w:rsid w:val="0044304A"/>
    <w:rsid w:val="00445159"/>
    <w:rsid w:val="00446403"/>
    <w:rsid w:val="0044748F"/>
    <w:rsid w:val="00452ACB"/>
    <w:rsid w:val="004539B4"/>
    <w:rsid w:val="004557A7"/>
    <w:rsid w:val="00457582"/>
    <w:rsid w:val="00457DE4"/>
    <w:rsid w:val="00460AC0"/>
    <w:rsid w:val="0046408F"/>
    <w:rsid w:val="00464A39"/>
    <w:rsid w:val="0046799E"/>
    <w:rsid w:val="00467D11"/>
    <w:rsid w:val="00467F54"/>
    <w:rsid w:val="004711CF"/>
    <w:rsid w:val="00472217"/>
    <w:rsid w:val="004722B3"/>
    <w:rsid w:val="00475787"/>
    <w:rsid w:val="00481247"/>
    <w:rsid w:val="00483FB4"/>
    <w:rsid w:val="00486D65"/>
    <w:rsid w:val="00487538"/>
    <w:rsid w:val="00496161"/>
    <w:rsid w:val="004A3A06"/>
    <w:rsid w:val="004A3B14"/>
    <w:rsid w:val="004A4E18"/>
    <w:rsid w:val="004A66C8"/>
    <w:rsid w:val="004B0B48"/>
    <w:rsid w:val="004B1A64"/>
    <w:rsid w:val="004B6C25"/>
    <w:rsid w:val="004B7001"/>
    <w:rsid w:val="004B7A2A"/>
    <w:rsid w:val="004C1DC3"/>
    <w:rsid w:val="004C3B06"/>
    <w:rsid w:val="004C7597"/>
    <w:rsid w:val="004D06FD"/>
    <w:rsid w:val="004D742F"/>
    <w:rsid w:val="004D7744"/>
    <w:rsid w:val="004D7CAA"/>
    <w:rsid w:val="004E3A6D"/>
    <w:rsid w:val="004E51D2"/>
    <w:rsid w:val="004F1235"/>
    <w:rsid w:val="004F1B81"/>
    <w:rsid w:val="004F228B"/>
    <w:rsid w:val="004F4407"/>
    <w:rsid w:val="004F6BC7"/>
    <w:rsid w:val="004F7B49"/>
    <w:rsid w:val="00500A47"/>
    <w:rsid w:val="00502C02"/>
    <w:rsid w:val="00503DB4"/>
    <w:rsid w:val="00506931"/>
    <w:rsid w:val="0051076F"/>
    <w:rsid w:val="00511649"/>
    <w:rsid w:val="00512688"/>
    <w:rsid w:val="00513292"/>
    <w:rsid w:val="005158D2"/>
    <w:rsid w:val="005167A2"/>
    <w:rsid w:val="00517FD1"/>
    <w:rsid w:val="00521A2F"/>
    <w:rsid w:val="005248F1"/>
    <w:rsid w:val="00531852"/>
    <w:rsid w:val="00532349"/>
    <w:rsid w:val="00536858"/>
    <w:rsid w:val="0054162F"/>
    <w:rsid w:val="005435BD"/>
    <w:rsid w:val="005441BD"/>
    <w:rsid w:val="00545366"/>
    <w:rsid w:val="00547319"/>
    <w:rsid w:val="00547AE9"/>
    <w:rsid w:val="00550B8F"/>
    <w:rsid w:val="00560560"/>
    <w:rsid w:val="00560E79"/>
    <w:rsid w:val="00564824"/>
    <w:rsid w:val="00572345"/>
    <w:rsid w:val="005748BD"/>
    <w:rsid w:val="00577917"/>
    <w:rsid w:val="005808E0"/>
    <w:rsid w:val="00585276"/>
    <w:rsid w:val="00586E12"/>
    <w:rsid w:val="00593ECF"/>
    <w:rsid w:val="00597EE1"/>
    <w:rsid w:val="005A080C"/>
    <w:rsid w:val="005A0C0D"/>
    <w:rsid w:val="005A3490"/>
    <w:rsid w:val="005A3520"/>
    <w:rsid w:val="005A73B4"/>
    <w:rsid w:val="005B47A5"/>
    <w:rsid w:val="005C1567"/>
    <w:rsid w:val="005C4C9A"/>
    <w:rsid w:val="005D0AB2"/>
    <w:rsid w:val="005D16EB"/>
    <w:rsid w:val="005D7532"/>
    <w:rsid w:val="005E5D81"/>
    <w:rsid w:val="005F20E3"/>
    <w:rsid w:val="005F4F9E"/>
    <w:rsid w:val="005F68FF"/>
    <w:rsid w:val="0060356F"/>
    <w:rsid w:val="00607B95"/>
    <w:rsid w:val="0061022F"/>
    <w:rsid w:val="00612360"/>
    <w:rsid w:val="00616324"/>
    <w:rsid w:val="0062191F"/>
    <w:rsid w:val="00623A33"/>
    <w:rsid w:val="00626EBC"/>
    <w:rsid w:val="00630C51"/>
    <w:rsid w:val="00635782"/>
    <w:rsid w:val="00640B09"/>
    <w:rsid w:val="006414CA"/>
    <w:rsid w:val="00641FA4"/>
    <w:rsid w:val="0064610D"/>
    <w:rsid w:val="00650DFA"/>
    <w:rsid w:val="006536CE"/>
    <w:rsid w:val="00654883"/>
    <w:rsid w:val="00655312"/>
    <w:rsid w:val="00657A8B"/>
    <w:rsid w:val="00662AA7"/>
    <w:rsid w:val="00673E14"/>
    <w:rsid w:val="00676925"/>
    <w:rsid w:val="00681D2E"/>
    <w:rsid w:val="006822D9"/>
    <w:rsid w:val="00682F7D"/>
    <w:rsid w:val="00690715"/>
    <w:rsid w:val="006907E3"/>
    <w:rsid w:val="00691740"/>
    <w:rsid w:val="006922BE"/>
    <w:rsid w:val="006971E1"/>
    <w:rsid w:val="006A70F6"/>
    <w:rsid w:val="006B2B85"/>
    <w:rsid w:val="006B5D9C"/>
    <w:rsid w:val="006B6884"/>
    <w:rsid w:val="006C4B55"/>
    <w:rsid w:val="006C5802"/>
    <w:rsid w:val="006D4DFF"/>
    <w:rsid w:val="006E015E"/>
    <w:rsid w:val="006E1055"/>
    <w:rsid w:val="006E1A83"/>
    <w:rsid w:val="006E532A"/>
    <w:rsid w:val="006E54D4"/>
    <w:rsid w:val="006E6688"/>
    <w:rsid w:val="006F03F3"/>
    <w:rsid w:val="006F0EDC"/>
    <w:rsid w:val="006F13BD"/>
    <w:rsid w:val="006F5C38"/>
    <w:rsid w:val="006F740E"/>
    <w:rsid w:val="007034EF"/>
    <w:rsid w:val="00703A59"/>
    <w:rsid w:val="00705BCC"/>
    <w:rsid w:val="00710E39"/>
    <w:rsid w:val="0071583D"/>
    <w:rsid w:val="00721CCE"/>
    <w:rsid w:val="007221C1"/>
    <w:rsid w:val="007267F5"/>
    <w:rsid w:val="007279FA"/>
    <w:rsid w:val="00730197"/>
    <w:rsid w:val="00733B35"/>
    <w:rsid w:val="00737FC5"/>
    <w:rsid w:val="007413CE"/>
    <w:rsid w:val="00741DFF"/>
    <w:rsid w:val="00742177"/>
    <w:rsid w:val="00745488"/>
    <w:rsid w:val="00745697"/>
    <w:rsid w:val="007508ED"/>
    <w:rsid w:val="007544B7"/>
    <w:rsid w:val="00756120"/>
    <w:rsid w:val="00773660"/>
    <w:rsid w:val="007775B7"/>
    <w:rsid w:val="00786002"/>
    <w:rsid w:val="007863CA"/>
    <w:rsid w:val="00791DF5"/>
    <w:rsid w:val="00793230"/>
    <w:rsid w:val="007961C7"/>
    <w:rsid w:val="007A06DF"/>
    <w:rsid w:val="007A66DF"/>
    <w:rsid w:val="007A7627"/>
    <w:rsid w:val="007B7847"/>
    <w:rsid w:val="007C132F"/>
    <w:rsid w:val="007C195E"/>
    <w:rsid w:val="007C2139"/>
    <w:rsid w:val="007C293F"/>
    <w:rsid w:val="007C5D90"/>
    <w:rsid w:val="007D7079"/>
    <w:rsid w:val="007E7B0B"/>
    <w:rsid w:val="007F7573"/>
    <w:rsid w:val="00801458"/>
    <w:rsid w:val="00802AE9"/>
    <w:rsid w:val="008047AD"/>
    <w:rsid w:val="0080526B"/>
    <w:rsid w:val="00813191"/>
    <w:rsid w:val="008141F6"/>
    <w:rsid w:val="00814CFF"/>
    <w:rsid w:val="00815F77"/>
    <w:rsid w:val="008162EB"/>
    <w:rsid w:val="00817433"/>
    <w:rsid w:val="00822331"/>
    <w:rsid w:val="00822DA4"/>
    <w:rsid w:val="00825610"/>
    <w:rsid w:val="008300DE"/>
    <w:rsid w:val="00830164"/>
    <w:rsid w:val="0083205C"/>
    <w:rsid w:val="008439ED"/>
    <w:rsid w:val="00845986"/>
    <w:rsid w:val="00846761"/>
    <w:rsid w:val="00846BB8"/>
    <w:rsid w:val="008507F0"/>
    <w:rsid w:val="008513CC"/>
    <w:rsid w:val="008618CB"/>
    <w:rsid w:val="00864CF0"/>
    <w:rsid w:val="00871BD1"/>
    <w:rsid w:val="00873B6B"/>
    <w:rsid w:val="00877081"/>
    <w:rsid w:val="00884C6B"/>
    <w:rsid w:val="00891223"/>
    <w:rsid w:val="00891979"/>
    <w:rsid w:val="008A1F15"/>
    <w:rsid w:val="008A2B26"/>
    <w:rsid w:val="008A38F6"/>
    <w:rsid w:val="008A6D81"/>
    <w:rsid w:val="008B4EEE"/>
    <w:rsid w:val="008B65DC"/>
    <w:rsid w:val="008C0192"/>
    <w:rsid w:val="008C6968"/>
    <w:rsid w:val="008D0252"/>
    <w:rsid w:val="008D4FAE"/>
    <w:rsid w:val="008E159F"/>
    <w:rsid w:val="008E2C03"/>
    <w:rsid w:val="008E67D1"/>
    <w:rsid w:val="008E6B7E"/>
    <w:rsid w:val="008F3D46"/>
    <w:rsid w:val="00900B39"/>
    <w:rsid w:val="009074F0"/>
    <w:rsid w:val="00912B90"/>
    <w:rsid w:val="00913F95"/>
    <w:rsid w:val="00921707"/>
    <w:rsid w:val="009257F5"/>
    <w:rsid w:val="009272F0"/>
    <w:rsid w:val="009301B1"/>
    <w:rsid w:val="00931AE1"/>
    <w:rsid w:val="009362DB"/>
    <w:rsid w:val="00937382"/>
    <w:rsid w:val="00937B01"/>
    <w:rsid w:val="0094279E"/>
    <w:rsid w:val="00942920"/>
    <w:rsid w:val="00943E94"/>
    <w:rsid w:val="00955B03"/>
    <w:rsid w:val="00956491"/>
    <w:rsid w:val="00956613"/>
    <w:rsid w:val="00961E35"/>
    <w:rsid w:val="009656B1"/>
    <w:rsid w:val="00972C9A"/>
    <w:rsid w:val="00974119"/>
    <w:rsid w:val="009763B0"/>
    <w:rsid w:val="00986388"/>
    <w:rsid w:val="00986534"/>
    <w:rsid w:val="00990A7B"/>
    <w:rsid w:val="009915AB"/>
    <w:rsid w:val="00993EC6"/>
    <w:rsid w:val="00994F64"/>
    <w:rsid w:val="009958A9"/>
    <w:rsid w:val="00997E3A"/>
    <w:rsid w:val="009A2129"/>
    <w:rsid w:val="009A2433"/>
    <w:rsid w:val="009A2836"/>
    <w:rsid w:val="009A3647"/>
    <w:rsid w:val="009B0D25"/>
    <w:rsid w:val="009B2BF1"/>
    <w:rsid w:val="009B3863"/>
    <w:rsid w:val="009B4811"/>
    <w:rsid w:val="009B6343"/>
    <w:rsid w:val="009C15EA"/>
    <w:rsid w:val="009C182F"/>
    <w:rsid w:val="009C24E7"/>
    <w:rsid w:val="009C593B"/>
    <w:rsid w:val="009C743E"/>
    <w:rsid w:val="009C7852"/>
    <w:rsid w:val="009D2CA7"/>
    <w:rsid w:val="009D2E1D"/>
    <w:rsid w:val="009E1011"/>
    <w:rsid w:val="009E2922"/>
    <w:rsid w:val="009E3BC6"/>
    <w:rsid w:val="009E4EFE"/>
    <w:rsid w:val="009F1C26"/>
    <w:rsid w:val="009F511B"/>
    <w:rsid w:val="00A011FC"/>
    <w:rsid w:val="00A028A6"/>
    <w:rsid w:val="00A02938"/>
    <w:rsid w:val="00A03531"/>
    <w:rsid w:val="00A06DC8"/>
    <w:rsid w:val="00A07F8E"/>
    <w:rsid w:val="00A1086E"/>
    <w:rsid w:val="00A17052"/>
    <w:rsid w:val="00A2459C"/>
    <w:rsid w:val="00A25CE0"/>
    <w:rsid w:val="00A27441"/>
    <w:rsid w:val="00A31ADC"/>
    <w:rsid w:val="00A32E6B"/>
    <w:rsid w:val="00A34796"/>
    <w:rsid w:val="00A43A5E"/>
    <w:rsid w:val="00A61971"/>
    <w:rsid w:val="00A65BBF"/>
    <w:rsid w:val="00A661F7"/>
    <w:rsid w:val="00A704CF"/>
    <w:rsid w:val="00A73825"/>
    <w:rsid w:val="00A73A64"/>
    <w:rsid w:val="00A73BBF"/>
    <w:rsid w:val="00A7497A"/>
    <w:rsid w:val="00A83564"/>
    <w:rsid w:val="00A86A29"/>
    <w:rsid w:val="00A921C3"/>
    <w:rsid w:val="00A929E6"/>
    <w:rsid w:val="00A96A07"/>
    <w:rsid w:val="00A97250"/>
    <w:rsid w:val="00AA7AD3"/>
    <w:rsid w:val="00AA7E2E"/>
    <w:rsid w:val="00AB7E0B"/>
    <w:rsid w:val="00AC1CD3"/>
    <w:rsid w:val="00AC2CC2"/>
    <w:rsid w:val="00AD5D42"/>
    <w:rsid w:val="00AD6953"/>
    <w:rsid w:val="00AE2716"/>
    <w:rsid w:val="00AE297E"/>
    <w:rsid w:val="00AE7A89"/>
    <w:rsid w:val="00B03098"/>
    <w:rsid w:val="00B04CD7"/>
    <w:rsid w:val="00B070DE"/>
    <w:rsid w:val="00B07B86"/>
    <w:rsid w:val="00B1190F"/>
    <w:rsid w:val="00B17E89"/>
    <w:rsid w:val="00B2536B"/>
    <w:rsid w:val="00B25D67"/>
    <w:rsid w:val="00B30F6B"/>
    <w:rsid w:val="00B340E8"/>
    <w:rsid w:val="00B34856"/>
    <w:rsid w:val="00B35855"/>
    <w:rsid w:val="00B3682C"/>
    <w:rsid w:val="00B37278"/>
    <w:rsid w:val="00B4201E"/>
    <w:rsid w:val="00B42901"/>
    <w:rsid w:val="00B446E6"/>
    <w:rsid w:val="00B5026D"/>
    <w:rsid w:val="00B51483"/>
    <w:rsid w:val="00B53E7A"/>
    <w:rsid w:val="00B55EBE"/>
    <w:rsid w:val="00B56470"/>
    <w:rsid w:val="00B61892"/>
    <w:rsid w:val="00B63969"/>
    <w:rsid w:val="00B7141F"/>
    <w:rsid w:val="00B74FFD"/>
    <w:rsid w:val="00B76B34"/>
    <w:rsid w:val="00B76ECF"/>
    <w:rsid w:val="00B801FF"/>
    <w:rsid w:val="00B81B43"/>
    <w:rsid w:val="00B81CA2"/>
    <w:rsid w:val="00B81E4F"/>
    <w:rsid w:val="00B90C31"/>
    <w:rsid w:val="00B92F27"/>
    <w:rsid w:val="00B95F9A"/>
    <w:rsid w:val="00BA0C83"/>
    <w:rsid w:val="00BA3DBB"/>
    <w:rsid w:val="00BB0414"/>
    <w:rsid w:val="00BB4D25"/>
    <w:rsid w:val="00BB5C8A"/>
    <w:rsid w:val="00BB65F1"/>
    <w:rsid w:val="00BB6C26"/>
    <w:rsid w:val="00BB7C3B"/>
    <w:rsid w:val="00BC1138"/>
    <w:rsid w:val="00BC65F6"/>
    <w:rsid w:val="00BD1F73"/>
    <w:rsid w:val="00BD3759"/>
    <w:rsid w:val="00BD3EB7"/>
    <w:rsid w:val="00BD6E27"/>
    <w:rsid w:val="00BD779D"/>
    <w:rsid w:val="00BE1BCF"/>
    <w:rsid w:val="00BE204F"/>
    <w:rsid w:val="00BE22FF"/>
    <w:rsid w:val="00BE320A"/>
    <w:rsid w:val="00BE43E0"/>
    <w:rsid w:val="00BF0A29"/>
    <w:rsid w:val="00BF0C52"/>
    <w:rsid w:val="00BF5297"/>
    <w:rsid w:val="00BF585D"/>
    <w:rsid w:val="00BF6E9B"/>
    <w:rsid w:val="00C03EE6"/>
    <w:rsid w:val="00C05798"/>
    <w:rsid w:val="00C06AF2"/>
    <w:rsid w:val="00C0761D"/>
    <w:rsid w:val="00C15B5E"/>
    <w:rsid w:val="00C16EA4"/>
    <w:rsid w:val="00C207AA"/>
    <w:rsid w:val="00C22655"/>
    <w:rsid w:val="00C236A8"/>
    <w:rsid w:val="00C26DBC"/>
    <w:rsid w:val="00C32FA4"/>
    <w:rsid w:val="00C33A0C"/>
    <w:rsid w:val="00C404DC"/>
    <w:rsid w:val="00C425B8"/>
    <w:rsid w:val="00C466CD"/>
    <w:rsid w:val="00C600CB"/>
    <w:rsid w:val="00C65A1F"/>
    <w:rsid w:val="00C67EFE"/>
    <w:rsid w:val="00C70F60"/>
    <w:rsid w:val="00C712A3"/>
    <w:rsid w:val="00C7147D"/>
    <w:rsid w:val="00C77C2F"/>
    <w:rsid w:val="00C80E10"/>
    <w:rsid w:val="00C81462"/>
    <w:rsid w:val="00C8153D"/>
    <w:rsid w:val="00C82F9B"/>
    <w:rsid w:val="00C82FBD"/>
    <w:rsid w:val="00C83B36"/>
    <w:rsid w:val="00C8632D"/>
    <w:rsid w:val="00C86D3A"/>
    <w:rsid w:val="00C954DC"/>
    <w:rsid w:val="00CA33D2"/>
    <w:rsid w:val="00CA45C4"/>
    <w:rsid w:val="00CA48EF"/>
    <w:rsid w:val="00CA6C9E"/>
    <w:rsid w:val="00CB0BC8"/>
    <w:rsid w:val="00CB0D86"/>
    <w:rsid w:val="00CB5406"/>
    <w:rsid w:val="00CB5BEC"/>
    <w:rsid w:val="00CB6BB4"/>
    <w:rsid w:val="00CD168A"/>
    <w:rsid w:val="00CD5754"/>
    <w:rsid w:val="00CE57A2"/>
    <w:rsid w:val="00CE6E99"/>
    <w:rsid w:val="00CE6F94"/>
    <w:rsid w:val="00CF4B18"/>
    <w:rsid w:val="00CF4C73"/>
    <w:rsid w:val="00CF5AFC"/>
    <w:rsid w:val="00D01FBE"/>
    <w:rsid w:val="00D05A27"/>
    <w:rsid w:val="00D05B40"/>
    <w:rsid w:val="00D064E3"/>
    <w:rsid w:val="00D12F23"/>
    <w:rsid w:val="00D132DA"/>
    <w:rsid w:val="00D15145"/>
    <w:rsid w:val="00D17955"/>
    <w:rsid w:val="00D2126C"/>
    <w:rsid w:val="00D22CCF"/>
    <w:rsid w:val="00D24278"/>
    <w:rsid w:val="00D24CE2"/>
    <w:rsid w:val="00D2510B"/>
    <w:rsid w:val="00D2512F"/>
    <w:rsid w:val="00D25F12"/>
    <w:rsid w:val="00D31568"/>
    <w:rsid w:val="00D32B3E"/>
    <w:rsid w:val="00D33F91"/>
    <w:rsid w:val="00D353B4"/>
    <w:rsid w:val="00D37ADA"/>
    <w:rsid w:val="00D40244"/>
    <w:rsid w:val="00D41EEB"/>
    <w:rsid w:val="00D43C56"/>
    <w:rsid w:val="00D4440F"/>
    <w:rsid w:val="00D46AAD"/>
    <w:rsid w:val="00D50C1F"/>
    <w:rsid w:val="00D50F2A"/>
    <w:rsid w:val="00D54823"/>
    <w:rsid w:val="00D62944"/>
    <w:rsid w:val="00D62C13"/>
    <w:rsid w:val="00D72724"/>
    <w:rsid w:val="00D72B63"/>
    <w:rsid w:val="00D73FF2"/>
    <w:rsid w:val="00D74169"/>
    <w:rsid w:val="00D84969"/>
    <w:rsid w:val="00D85B87"/>
    <w:rsid w:val="00D912D6"/>
    <w:rsid w:val="00D94A15"/>
    <w:rsid w:val="00D9551B"/>
    <w:rsid w:val="00D975A0"/>
    <w:rsid w:val="00DA2FD6"/>
    <w:rsid w:val="00DA3943"/>
    <w:rsid w:val="00DA44E8"/>
    <w:rsid w:val="00DA566A"/>
    <w:rsid w:val="00DA772C"/>
    <w:rsid w:val="00DA7B8A"/>
    <w:rsid w:val="00DB36B8"/>
    <w:rsid w:val="00DB430D"/>
    <w:rsid w:val="00DC0964"/>
    <w:rsid w:val="00DC12CA"/>
    <w:rsid w:val="00DC78FC"/>
    <w:rsid w:val="00DD0933"/>
    <w:rsid w:val="00DD1956"/>
    <w:rsid w:val="00DD1CE0"/>
    <w:rsid w:val="00DD37C0"/>
    <w:rsid w:val="00DD40A6"/>
    <w:rsid w:val="00DE1B5D"/>
    <w:rsid w:val="00DE5C33"/>
    <w:rsid w:val="00DF0402"/>
    <w:rsid w:val="00DF2418"/>
    <w:rsid w:val="00DF25E8"/>
    <w:rsid w:val="00DF2860"/>
    <w:rsid w:val="00DF691D"/>
    <w:rsid w:val="00DF6C28"/>
    <w:rsid w:val="00DF70A6"/>
    <w:rsid w:val="00E00A0B"/>
    <w:rsid w:val="00E076CB"/>
    <w:rsid w:val="00E07B79"/>
    <w:rsid w:val="00E10CD8"/>
    <w:rsid w:val="00E10D8F"/>
    <w:rsid w:val="00E20E7D"/>
    <w:rsid w:val="00E21255"/>
    <w:rsid w:val="00E247F4"/>
    <w:rsid w:val="00E33B36"/>
    <w:rsid w:val="00E352F0"/>
    <w:rsid w:val="00E3587A"/>
    <w:rsid w:val="00E4190A"/>
    <w:rsid w:val="00E41F72"/>
    <w:rsid w:val="00E42268"/>
    <w:rsid w:val="00E43091"/>
    <w:rsid w:val="00E4384B"/>
    <w:rsid w:val="00E53C8C"/>
    <w:rsid w:val="00E540B5"/>
    <w:rsid w:val="00E558E3"/>
    <w:rsid w:val="00E56538"/>
    <w:rsid w:val="00E56D81"/>
    <w:rsid w:val="00E57A82"/>
    <w:rsid w:val="00E65AC3"/>
    <w:rsid w:val="00E722A5"/>
    <w:rsid w:val="00E72FE8"/>
    <w:rsid w:val="00E750C4"/>
    <w:rsid w:val="00E802E7"/>
    <w:rsid w:val="00E833B7"/>
    <w:rsid w:val="00E83F95"/>
    <w:rsid w:val="00E90486"/>
    <w:rsid w:val="00E96EBD"/>
    <w:rsid w:val="00E970CB"/>
    <w:rsid w:val="00EA32AD"/>
    <w:rsid w:val="00EB1642"/>
    <w:rsid w:val="00EB25B9"/>
    <w:rsid w:val="00EB5176"/>
    <w:rsid w:val="00EB73F8"/>
    <w:rsid w:val="00EC4C0B"/>
    <w:rsid w:val="00EC561D"/>
    <w:rsid w:val="00EC7D10"/>
    <w:rsid w:val="00ED33E9"/>
    <w:rsid w:val="00ED54F4"/>
    <w:rsid w:val="00EE423E"/>
    <w:rsid w:val="00EE478E"/>
    <w:rsid w:val="00EE5B1A"/>
    <w:rsid w:val="00EF0568"/>
    <w:rsid w:val="00EF58A9"/>
    <w:rsid w:val="00EF761A"/>
    <w:rsid w:val="00EF789A"/>
    <w:rsid w:val="00EF7BD8"/>
    <w:rsid w:val="00F01433"/>
    <w:rsid w:val="00F1790D"/>
    <w:rsid w:val="00F21B98"/>
    <w:rsid w:val="00F33585"/>
    <w:rsid w:val="00F33B0A"/>
    <w:rsid w:val="00F379B7"/>
    <w:rsid w:val="00F413DA"/>
    <w:rsid w:val="00F51267"/>
    <w:rsid w:val="00F52C85"/>
    <w:rsid w:val="00F634A1"/>
    <w:rsid w:val="00F70DD1"/>
    <w:rsid w:val="00F90711"/>
    <w:rsid w:val="00F97E6D"/>
    <w:rsid w:val="00FA0ED5"/>
    <w:rsid w:val="00FA18B9"/>
    <w:rsid w:val="00FA2F7C"/>
    <w:rsid w:val="00FA37BF"/>
    <w:rsid w:val="00FB27E3"/>
    <w:rsid w:val="00FB31E9"/>
    <w:rsid w:val="00FB3CF4"/>
    <w:rsid w:val="00FB482C"/>
    <w:rsid w:val="00FC333E"/>
    <w:rsid w:val="00FC3F78"/>
    <w:rsid w:val="00FC4CE3"/>
    <w:rsid w:val="00FC53FE"/>
    <w:rsid w:val="00FE2248"/>
    <w:rsid w:val="00FE2A37"/>
    <w:rsid w:val="00FF07D2"/>
    <w:rsid w:val="00FF4036"/>
    <w:rsid w:val="00FF43A7"/>
    <w:rsid w:val="00FF566B"/>
    <w:rsid w:val="01BA6801"/>
    <w:rsid w:val="04EC10F9"/>
    <w:rsid w:val="09826F0D"/>
    <w:rsid w:val="12F44E5E"/>
    <w:rsid w:val="17D50073"/>
    <w:rsid w:val="19222304"/>
    <w:rsid w:val="1DD35165"/>
    <w:rsid w:val="21B46A28"/>
    <w:rsid w:val="22AC5CD3"/>
    <w:rsid w:val="32502A95"/>
    <w:rsid w:val="359168F2"/>
    <w:rsid w:val="368901EA"/>
    <w:rsid w:val="36EB7A2E"/>
    <w:rsid w:val="3C0D5715"/>
    <w:rsid w:val="45A4682F"/>
    <w:rsid w:val="59342B6F"/>
    <w:rsid w:val="5AD64C30"/>
    <w:rsid w:val="627C4AFB"/>
    <w:rsid w:val="6C63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Balloon Text"/>
    <w:basedOn w:val="1"/>
    <w:semiHidden/>
    <w:uiPriority w:val="0"/>
    <w:rPr>
      <w:sz w:val="18"/>
      <w:szCs w:val="18"/>
    </w:rPr>
  </w:style>
  <w:style w:type="paragraph" w:styleId="4">
    <w:name w:val="footer"/>
    <w:basedOn w:val="1"/>
    <w:link w:val="10"/>
    <w:uiPriority w:val="99"/>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6"/>
    <w:link w:val="4"/>
    <w:qFormat/>
    <w:uiPriority w:val="99"/>
    <w:rPr>
      <w:kern w:val="2"/>
      <w:sz w:val="18"/>
    </w:rPr>
  </w:style>
  <w:style w:type="paragraph" w:styleId="1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1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544</Words>
  <Characters>3105</Characters>
  <Lines>25</Lines>
  <Paragraphs>7</Paragraphs>
  <TotalTime>0</TotalTime>
  <ScaleCrop>false</ScaleCrop>
  <LinksUpToDate>false</LinksUpToDate>
  <CharactersWithSpaces>3642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2018-02-23T05:54:00Z</dcterms:created>
  <dc:creator>微软用户</dc:creator>
  <cp:lastModifiedBy>jiangj1</cp:lastModifiedBy>
  <cp:lastPrinted>2016-02-29T08:32:00Z</cp:lastPrinted>
  <dcterms:modified xsi:type="dcterms:W3CDTF">2018-04-16T02:45:25Z</dcterms:modified>
  <dc:title>一、经济发展项目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