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附件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：</w:t>
      </w:r>
    </w:p>
    <w:p>
      <w:pPr>
        <w:jc w:val="center"/>
        <w:rPr>
          <w:rFonts w:hint="eastAsia" w:ascii="宋体" w:hAnsi="Times New Roman" w:eastAsia="宋体" w:cs="Times New Roman"/>
          <w:b/>
          <w:sz w:val="44"/>
          <w:szCs w:val="20"/>
          <w:lang w:val="en-US" w:eastAsia="zh-CN"/>
        </w:rPr>
      </w:pPr>
    </w:p>
    <w:p>
      <w:pPr>
        <w:jc w:val="center"/>
        <w:rPr>
          <w:rFonts w:hint="eastAsia" w:ascii="宋体" w:hAnsi="Times New Roman" w:eastAsia="宋体" w:cs="Times New Roman"/>
          <w:b/>
          <w:sz w:val="44"/>
          <w:szCs w:val="20"/>
        </w:rPr>
      </w:pPr>
      <w:r>
        <w:rPr>
          <w:rFonts w:hint="eastAsia" w:ascii="宋体" w:hAnsi="Times New Roman" w:eastAsia="宋体" w:cs="Times New Roman"/>
          <w:b/>
          <w:sz w:val="44"/>
          <w:szCs w:val="20"/>
          <w:lang w:val="en-US" w:eastAsia="zh-CN"/>
        </w:rPr>
        <w:t>小区拆违“五环”工作法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一是摸清底数，分类建档。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全面排摸违建点位信息，做到“六清”，即违法事实清、土地属性清、违建面积清、个人信息清、社会关系清、承租关系清，对重点对象建立“一户一档”。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二是宣传造势，引导自改。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以拉横幅、贴海报等形式，向居民群众宣传整治政策、目标。在约谈违建居民时，多一声招呼、拉一阵家常、讲一下政策，使当事人通过“了解”实现“理解”，引导违建居民签订“主动拆违承诺书”。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三是党建引领，居民自治。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发挥党组织的引领作用，发动楼组长、党员骨干、居委会、物业、业委会等力量参与，使群众成为拆违的主体力量，依靠居民自治、柔性管理，解决拆违难题。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四是把握节奏，分类推进。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把握好区域节奏，将主干道、公共部位成片违建作为首拆对象，带动零星违建拆除。把握好类别节奏，优先拆除“公字头”、经营性等重点类型违建，实现“重点突破，全面推进”。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  <w:t>五是依法整治，从实救助。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执法有力度、更有温度，拆除违建做到统一标准、一视同仁、不留盲区，整合公安、城管、市场、市容、房办、居委、物业、业委会、楼组长、居民志愿者等力量，强势推进整治。同时统筹考虑困难群众的救助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pacing w:val="-6"/>
          <w:sz w:val="32"/>
          <w:szCs w:val="20"/>
          <w:lang w:val="en-US" w:eastAsia="zh-CN"/>
        </w:rPr>
        <w:t>，真心诚意帮助确实有困难的群众解决实际困难。</w:t>
      </w:r>
    </w:p>
    <w:p>
      <w:pPr>
        <w:spacing w:line="540" w:lineRule="exact"/>
        <w:ind w:firstLine="619" w:firstLineChars="200"/>
        <w:rPr>
          <w:rFonts w:hint="eastAsia" w:ascii="仿宋_GB2312" w:hAnsi="Times New Roman" w:eastAsia="仿宋_GB2312" w:cs="Times New Roman"/>
          <w:b/>
          <w:bCs/>
          <w:spacing w:val="-6"/>
          <w:sz w:val="32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198"/>
    <w:multiLevelType w:val="multilevel"/>
    <w:tmpl w:val="0CFC4198"/>
    <w:lvl w:ilvl="0" w:tentative="0">
      <w:start w:val="1"/>
      <w:numFmt w:val="japaneseCounting"/>
      <w:pStyle w:val="6"/>
      <w:lvlText w:val="%1、"/>
      <w:lvlJc w:val="left"/>
      <w:pPr>
        <w:ind w:left="1287" w:hanging="720"/>
      </w:pPr>
      <w:rPr>
        <w:rFonts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9"/>
    <w:rsid w:val="005E136B"/>
    <w:rsid w:val="00A35109"/>
    <w:rsid w:val="00AD433D"/>
    <w:rsid w:val="00B12362"/>
    <w:rsid w:val="146467B2"/>
    <w:rsid w:val="1A112EE7"/>
    <w:rsid w:val="45834F86"/>
    <w:rsid w:val="53FD0924"/>
    <w:rsid w:val="5F4F25DD"/>
    <w:rsid w:val="662B5ADF"/>
    <w:rsid w:val="70C93799"/>
    <w:rsid w:val="7D0D65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21"/>
    <w:basedOn w:val="1"/>
    <w:qFormat/>
    <w:uiPriority w:val="34"/>
    <w:pPr>
      <w:numPr>
        <w:ilvl w:val="0"/>
        <w:numId w:val="1"/>
      </w:numPr>
      <w:jc w:val="left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taoying</dc:creator>
  <cp:lastModifiedBy>普陀区人民政府专用版</cp:lastModifiedBy>
  <cp:lastPrinted>2017-12-14T01:32:56Z</cp:lastPrinted>
  <dcterms:modified xsi:type="dcterms:W3CDTF">2017-12-14T01:32:59Z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